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B21EEB">
        <w:rPr>
          <w:rFonts w:eastAsia="MS Mincho"/>
          <w:b/>
          <w:bCs/>
          <w:noProof/>
          <w:sz w:val="28"/>
          <w:szCs w:val="28"/>
        </w:rPr>
        <w:t xml:space="preserve"> RAN1 #100</w:t>
      </w:r>
      <w:r w:rsidR="008F62F7">
        <w:rPr>
          <w:rFonts w:eastAsia="MS Mincho"/>
          <w:b/>
          <w:bCs/>
          <w:noProof/>
          <w:sz w:val="28"/>
          <w:szCs w:val="28"/>
        </w:rPr>
        <w:t xml:space="preserve">      </w:t>
      </w:r>
      <w:r w:rsidR="00B21EEB">
        <w:rPr>
          <w:rFonts w:eastAsia="MS Mincho"/>
          <w:b/>
          <w:bCs/>
          <w:noProof/>
          <w:sz w:val="28"/>
          <w:szCs w:val="28"/>
        </w:rPr>
        <w:t xml:space="preserve">  </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8B2318">
        <w:rPr>
          <w:rFonts w:eastAsia="MS Mincho"/>
          <w:b/>
          <w:bCs/>
          <w:noProof/>
          <w:sz w:val="28"/>
          <w:szCs w:val="28"/>
        </w:rPr>
        <w:t>2000440</w:t>
      </w:r>
    </w:p>
    <w:p w:rsidR="00005C7D" w:rsidRPr="00252769" w:rsidRDefault="000610AA"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Athens</w:t>
      </w:r>
      <w:r w:rsidR="00005C7D" w:rsidRPr="00252769">
        <w:rPr>
          <w:rFonts w:eastAsia="MS Mincho"/>
          <w:b/>
          <w:bCs/>
          <w:noProof/>
          <w:sz w:val="28"/>
          <w:szCs w:val="28"/>
          <w:lang w:eastAsia="en-US"/>
        </w:rPr>
        <w:t xml:space="preserve">, </w:t>
      </w:r>
      <w:r>
        <w:rPr>
          <w:rFonts w:eastAsia="MS Mincho"/>
          <w:b/>
          <w:bCs/>
          <w:noProof/>
          <w:sz w:val="28"/>
          <w:szCs w:val="28"/>
          <w:lang w:eastAsia="en-US"/>
        </w:rPr>
        <w:t>Greece, February 24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28</w:t>
      </w:r>
      <w:r w:rsidR="00005C7D" w:rsidRPr="00252769">
        <w:rPr>
          <w:rFonts w:eastAsia="MS Mincho"/>
          <w:b/>
          <w:bCs/>
          <w:noProof/>
          <w:sz w:val="28"/>
          <w:szCs w:val="28"/>
          <w:vertAlign w:val="superscript"/>
          <w:lang w:eastAsia="en-US"/>
        </w:rPr>
        <w:t>th</w:t>
      </w:r>
      <w:r w:rsidR="00305B1A">
        <w:rPr>
          <w:rFonts w:eastAsia="MS Mincho"/>
          <w:b/>
          <w:bCs/>
          <w:noProof/>
          <w:sz w:val="28"/>
          <w:szCs w:val="28"/>
          <w:lang w:eastAsia="en-US"/>
        </w:rPr>
        <w:t>, 2020</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B21EEB">
        <w:rPr>
          <w:rFonts w:eastAsia="MS Mincho"/>
          <w:b/>
          <w:bCs/>
          <w:noProof/>
          <w:sz w:val="28"/>
          <w:szCs w:val="28"/>
          <w:lang w:eastAsia="en-US"/>
        </w:rPr>
        <w:t>7.2.10</w:t>
      </w:r>
      <w:r w:rsidR="00C10953">
        <w:rPr>
          <w:rFonts w:eastAsia="MS Mincho"/>
          <w:b/>
          <w:bCs/>
          <w:noProof/>
          <w:sz w:val="28"/>
          <w:szCs w:val="28"/>
          <w:lang w:eastAsia="en-US"/>
        </w:rPr>
        <w:t>.1</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C522D8">
        <w:rPr>
          <w:rFonts w:eastAsia="MS Mincho"/>
          <w:b/>
          <w:bCs/>
          <w:noProof/>
          <w:sz w:val="28"/>
          <w:szCs w:val="28"/>
          <w:lang w:eastAsia="en-US"/>
        </w:rPr>
        <w:t>On UL Power Control for NN</w:t>
      </w:r>
      <w:r w:rsidR="00C10953">
        <w:rPr>
          <w:rFonts w:eastAsia="MS Mincho"/>
          <w:b/>
          <w:bCs/>
          <w:noProof/>
          <w:sz w:val="28"/>
          <w:szCs w:val="28"/>
          <w:lang w:eastAsia="en-US"/>
        </w:rPr>
        <w:t>-DC</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6C1ACD" w:rsidRDefault="006C1ACD" w:rsidP="00856AA4">
      <w:r>
        <w:t>In RAN1 #98-bis [1], the following contents are agreed:</w:t>
      </w:r>
    </w:p>
    <w:p w:rsidR="006C1ACD" w:rsidRPr="00460C54" w:rsidRDefault="006C1ACD" w:rsidP="006C1ACD">
      <w:pPr>
        <w:rPr>
          <w:b/>
          <w:bCs/>
          <w:sz w:val="20"/>
          <w:szCs w:val="20"/>
          <w:lang w:eastAsia="x-none"/>
        </w:rPr>
      </w:pPr>
      <w:r w:rsidRPr="00460C54">
        <w:rPr>
          <w:sz w:val="20"/>
          <w:szCs w:val="20"/>
          <w:highlight w:val="green"/>
          <w:lang w:eastAsia="x-none"/>
        </w:rPr>
        <w:t>Agreements</w:t>
      </w:r>
      <w:r w:rsidRPr="00460C54">
        <w:rPr>
          <w:b/>
          <w:bCs/>
          <w:sz w:val="20"/>
          <w:szCs w:val="20"/>
          <w:lang w:eastAsia="x-none"/>
        </w:rPr>
        <w:t>:</w:t>
      </w:r>
    </w:p>
    <w:p w:rsidR="006C1ACD" w:rsidRPr="00460C54" w:rsidRDefault="006C1ACD" w:rsidP="006C1ACD">
      <w:pPr>
        <w:rPr>
          <w:b/>
          <w:bCs/>
          <w:sz w:val="20"/>
          <w:szCs w:val="20"/>
          <w:lang w:eastAsia="x-none"/>
        </w:rPr>
      </w:pPr>
      <w:r w:rsidRPr="00460C54">
        <w:rPr>
          <w:rFonts w:ascii="Arial" w:hAnsi="Arial" w:cs="Arial"/>
          <w:sz w:val="20"/>
          <w:szCs w:val="20"/>
        </w:rPr>
        <w:t xml:space="preserve">Support dynamic power sharing </w:t>
      </w:r>
    </w:p>
    <w:p w:rsidR="006C1ACD" w:rsidRPr="00460C54" w:rsidRDefault="006C1ACD" w:rsidP="006C1ACD">
      <w:pPr>
        <w:pStyle w:val="a4"/>
        <w:numPr>
          <w:ilvl w:val="1"/>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sz w:val="20"/>
          <w:szCs w:val="20"/>
        </w:rPr>
        <w:t>If there is no overlapping transmission, maximum power on CG i is determined by RAN4 spec without considering P_CG_i.</w:t>
      </w:r>
    </w:p>
    <w:p w:rsidR="006C1ACD" w:rsidRPr="00460C54" w:rsidRDefault="006C1ACD" w:rsidP="006C1ACD">
      <w:pPr>
        <w:pStyle w:val="a4"/>
        <w:numPr>
          <w:ilvl w:val="1"/>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sz w:val="20"/>
          <w:szCs w:val="20"/>
        </w:rPr>
        <w:t>If there is overlapping transmission, maximum power on CG i is limited to P_CG_i.</w:t>
      </w:r>
    </w:p>
    <w:p w:rsidR="006C1ACD" w:rsidRPr="00460C54" w:rsidRDefault="006C1ACD" w:rsidP="006C1ACD">
      <w:pPr>
        <w:pStyle w:val="a4"/>
        <w:numPr>
          <w:ilvl w:val="1"/>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sz w:val="20"/>
          <w:szCs w:val="20"/>
        </w:rPr>
        <w:t>Note: “look-ahead” operation is included as a UE capability below</w:t>
      </w:r>
    </w:p>
    <w:p w:rsidR="006C1ACD" w:rsidRPr="00460C54" w:rsidRDefault="006C1ACD" w:rsidP="006C1ACD">
      <w:pPr>
        <w:pStyle w:val="a4"/>
        <w:numPr>
          <w:ilvl w:val="0"/>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bCs/>
          <w:sz w:val="20"/>
          <w:szCs w:val="20"/>
        </w:rPr>
        <w:t xml:space="preserve">In case of power limitation, MCG is prioritized over SCG and reuse CA rule within each CG </w:t>
      </w:r>
    </w:p>
    <w:p w:rsidR="006C1ACD" w:rsidRPr="00460C54" w:rsidRDefault="006C1ACD" w:rsidP="006C1ACD">
      <w:pPr>
        <w:pStyle w:val="a4"/>
        <w:numPr>
          <w:ilvl w:val="0"/>
          <w:numId w:val="13"/>
        </w:numPr>
        <w:overflowPunct w:val="0"/>
        <w:autoSpaceDE w:val="0"/>
        <w:autoSpaceDN w:val="0"/>
        <w:adjustRightInd w:val="0"/>
        <w:spacing w:before="120"/>
        <w:textAlignment w:val="baseline"/>
        <w:rPr>
          <w:rFonts w:ascii="Arial" w:hAnsi="Arial" w:cs="Arial"/>
          <w:sz w:val="20"/>
          <w:szCs w:val="20"/>
        </w:rPr>
      </w:pPr>
      <w:r w:rsidRPr="00460C54">
        <w:rPr>
          <w:rFonts w:ascii="Arial" w:hAnsi="Arial" w:cs="Arial"/>
          <w:sz w:val="20"/>
          <w:szCs w:val="20"/>
        </w:rPr>
        <w:t xml:space="preserve">Optional UE capability to indicate the support of dynamic power sharing operation </w:t>
      </w:r>
    </w:p>
    <w:p w:rsidR="006C1ACD" w:rsidRPr="006C1ACD" w:rsidRDefault="006C1ACD" w:rsidP="00856AA4">
      <w:pPr>
        <w:rPr>
          <w:b/>
          <w:bCs/>
          <w:szCs w:val="20"/>
          <w:lang w:eastAsia="x-none"/>
        </w:rPr>
      </w:pPr>
      <w:r w:rsidRPr="00460C54">
        <w:rPr>
          <w:rFonts w:ascii="Arial" w:hAnsi="Arial" w:cs="Arial"/>
          <w:sz w:val="20"/>
          <w:szCs w:val="20"/>
        </w:rPr>
        <w:t>Separate optional UE capability to indicate the support of ’look-ahead’ operation on condition that UE indicates support of dynamic power sharing operation</w:t>
      </w:r>
      <w:r w:rsidRPr="00C74654">
        <w:rPr>
          <w:rFonts w:ascii="Arial" w:hAnsi="Arial" w:cs="Arial"/>
          <w:szCs w:val="20"/>
        </w:rPr>
        <w:t>.</w:t>
      </w:r>
    </w:p>
    <w:p w:rsidR="00450E7E" w:rsidRDefault="00450E7E" w:rsidP="00856AA4"/>
    <w:p w:rsidR="00460C54" w:rsidRDefault="009120A3" w:rsidP="00856AA4">
      <w:r>
        <w:t xml:space="preserve">In </w:t>
      </w:r>
      <w:r w:rsidR="007E683D">
        <w:t>RAN1 #99</w:t>
      </w:r>
      <w:r w:rsidR="006C1ACD">
        <w:t xml:space="preserve"> [2</w:t>
      </w:r>
      <w:r w:rsidR="0025296E">
        <w:t>]</w:t>
      </w:r>
      <w:r>
        <w:t xml:space="preserve">, </w:t>
      </w:r>
      <w:r w:rsidR="00856AA4">
        <w:t>the following contents are agreed:</w:t>
      </w:r>
    </w:p>
    <w:p w:rsidR="00D77B4D" w:rsidRPr="006C1ACD" w:rsidRDefault="00D77B4D" w:rsidP="00D77B4D">
      <w:pPr>
        <w:rPr>
          <w:sz w:val="20"/>
          <w:szCs w:val="20"/>
        </w:rPr>
      </w:pPr>
      <w:r w:rsidRPr="006C1ACD">
        <w:rPr>
          <w:sz w:val="20"/>
          <w:szCs w:val="20"/>
          <w:highlight w:val="green"/>
        </w:rPr>
        <w:t>Agreements</w:t>
      </w:r>
      <w:r w:rsidRPr="006C1ACD">
        <w:rPr>
          <w:sz w:val="20"/>
          <w:szCs w:val="20"/>
        </w:rPr>
        <w:t>:</w:t>
      </w:r>
    </w:p>
    <w:p w:rsidR="00D77B4D" w:rsidRPr="006C1ACD" w:rsidRDefault="00D77B4D" w:rsidP="00D77B4D">
      <w:pPr>
        <w:pStyle w:val="a4"/>
        <w:numPr>
          <w:ilvl w:val="0"/>
          <w:numId w:val="22"/>
        </w:numPr>
        <w:overflowPunct w:val="0"/>
        <w:autoSpaceDE w:val="0"/>
        <w:autoSpaceDN w:val="0"/>
        <w:adjustRightInd w:val="0"/>
        <w:spacing w:after="180"/>
        <w:jc w:val="both"/>
        <w:textAlignment w:val="baseline"/>
        <w:rPr>
          <w:rFonts w:ascii="Arial" w:hAnsi="Arial" w:cs="Arial"/>
          <w:sz w:val="20"/>
          <w:szCs w:val="20"/>
        </w:rPr>
      </w:pPr>
      <w:r w:rsidRPr="006C1ACD">
        <w:rPr>
          <w:rFonts w:ascii="Arial" w:hAnsi="Arial" w:cs="Arial"/>
          <w:sz w:val="20"/>
          <w:szCs w:val="20"/>
        </w:rPr>
        <w:t xml:space="preserve">Alt.1-2 of semi-static power sharing can be configured for synchronous DC scenario only. </w:t>
      </w:r>
    </w:p>
    <w:p w:rsidR="00D77B4D" w:rsidRPr="006C1ACD" w:rsidRDefault="00D77B4D" w:rsidP="00856AA4">
      <w:pPr>
        <w:pStyle w:val="a4"/>
        <w:numPr>
          <w:ilvl w:val="1"/>
          <w:numId w:val="22"/>
        </w:numPr>
        <w:overflowPunct w:val="0"/>
        <w:autoSpaceDE w:val="0"/>
        <w:autoSpaceDN w:val="0"/>
        <w:adjustRightInd w:val="0"/>
        <w:spacing w:before="120" w:after="180"/>
        <w:ind w:left="630" w:hanging="270"/>
        <w:jc w:val="both"/>
        <w:textAlignment w:val="baseline"/>
        <w:rPr>
          <w:rFonts w:ascii="Arial" w:hAnsi="Arial" w:cs="Arial"/>
          <w:bCs/>
          <w:sz w:val="20"/>
          <w:szCs w:val="20"/>
        </w:rPr>
      </w:pPr>
      <w:r w:rsidRPr="006C1ACD">
        <w:rPr>
          <w:rFonts w:ascii="Arial" w:hAnsi="Arial" w:cs="Arial"/>
          <w:bCs/>
          <w:sz w:val="20"/>
          <w:szCs w:val="20"/>
        </w:rPr>
        <w:t>It is up to UE to determine whether the overlapping with UL transmission on the SCG is possible, if/when factors other than the TDD UL-DL configurations of the serving cells in the SCG (e.g., timing difference, drift) need to be taken into account.</w:t>
      </w:r>
    </w:p>
    <w:p w:rsidR="007E683D" w:rsidRPr="006C1ACD" w:rsidRDefault="007E683D" w:rsidP="007E683D">
      <w:pPr>
        <w:rPr>
          <w:sz w:val="20"/>
          <w:szCs w:val="20"/>
          <w:lang w:eastAsia="x-none"/>
        </w:rPr>
      </w:pPr>
      <w:r w:rsidRPr="006C1ACD">
        <w:rPr>
          <w:sz w:val="20"/>
          <w:szCs w:val="20"/>
          <w:highlight w:val="green"/>
          <w:lang w:eastAsia="x-none"/>
        </w:rPr>
        <w:t>Agreements</w:t>
      </w:r>
      <w:r w:rsidRPr="006C1ACD">
        <w:rPr>
          <w:sz w:val="20"/>
          <w:szCs w:val="20"/>
          <w:lang w:eastAsia="x-none"/>
        </w:rPr>
        <w:t>:</w:t>
      </w:r>
    </w:p>
    <w:p w:rsidR="007E683D" w:rsidRPr="006C1ACD" w:rsidRDefault="007E683D" w:rsidP="007E683D">
      <w:pPr>
        <w:pStyle w:val="a4"/>
        <w:numPr>
          <w:ilvl w:val="0"/>
          <w:numId w:val="20"/>
        </w:numPr>
        <w:tabs>
          <w:tab w:val="clear" w:pos="720"/>
          <w:tab w:val="num" w:pos="360"/>
        </w:tabs>
        <w:ind w:left="360"/>
        <w:rPr>
          <w:rFonts w:ascii="MS PGothic" w:eastAsia="MS PGothic" w:hAnsi="MS PGothic"/>
          <w:color w:val="000000"/>
          <w:sz w:val="20"/>
          <w:szCs w:val="20"/>
        </w:rPr>
      </w:pPr>
      <w:r w:rsidRPr="006C1ACD">
        <w:rPr>
          <w:rFonts w:ascii="Arial" w:eastAsia="MS PGothic" w:hAnsi="Arial" w:cs="Arial"/>
          <w:color w:val="000000"/>
          <w:sz w:val="20"/>
          <w:szCs w:val="20"/>
        </w:rPr>
        <w:t>For NR-DC dynamic power sharing, to compute the transmit power for SCG UL transmission starting at time T0,</w:t>
      </w:r>
    </w:p>
    <w:p w:rsidR="007E683D" w:rsidRPr="006C1ACD" w:rsidRDefault="007E683D" w:rsidP="007E683D">
      <w:pPr>
        <w:numPr>
          <w:ilvl w:val="0"/>
          <w:numId w:val="21"/>
        </w:numPr>
        <w:rPr>
          <w:rFonts w:ascii="Arial" w:eastAsia="MS PGothic" w:hAnsi="Arial" w:cs="Arial"/>
          <w:color w:val="000000"/>
          <w:sz w:val="20"/>
          <w:szCs w:val="20"/>
        </w:rPr>
      </w:pPr>
      <w:r w:rsidRPr="006C1ACD">
        <w:rPr>
          <w:rFonts w:ascii="Arial" w:eastAsia="MS PGothic" w:hAnsi="Arial" w:cs="Arial"/>
          <w:color w:val="000000"/>
          <w:sz w:val="20"/>
          <w:szCs w:val="20"/>
        </w:rPr>
        <w:t xml:space="preserve">UE checks for PDCCH(s) received before time T0-T_offset that trigger an overlapping MCG UL transmission, and </w:t>
      </w:r>
    </w:p>
    <w:p w:rsidR="007E683D" w:rsidRPr="006C1ACD" w:rsidRDefault="007E683D" w:rsidP="007E683D">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If such PDCCH(s) are detected, UE sets it’s transmit power in SCG (pwr_SCG) such that pwr_SCG &lt;= min{P</w:t>
      </w:r>
      <w:r w:rsidRPr="006C1ACD">
        <w:rPr>
          <w:rFonts w:ascii="Arial" w:eastAsia="MS PGothic" w:hAnsi="Arial" w:cs="Arial"/>
          <w:color w:val="000000"/>
          <w:sz w:val="20"/>
          <w:szCs w:val="20"/>
          <w:vertAlign w:val="subscript"/>
        </w:rPr>
        <w:t>SCG</w:t>
      </w:r>
      <w:r w:rsidRPr="006C1ACD">
        <w:rPr>
          <w:rFonts w:ascii="Arial" w:eastAsia="MS PGothic" w:hAnsi="Arial" w:cs="Arial"/>
          <w:color w:val="000000"/>
          <w:sz w:val="20"/>
          <w:szCs w:val="20"/>
        </w:rPr>
        <w:t>, P</w:t>
      </w:r>
      <w:r w:rsidRPr="006C1ACD">
        <w:rPr>
          <w:rFonts w:ascii="Arial" w:eastAsia="MS PGothic" w:hAnsi="Arial" w:cs="Arial"/>
          <w:color w:val="000000"/>
          <w:sz w:val="20"/>
          <w:szCs w:val="20"/>
          <w:vertAlign w:val="subscript"/>
        </w:rPr>
        <w:t>total</w:t>
      </w:r>
      <w:r w:rsidRPr="006C1ACD">
        <w:rPr>
          <w:rFonts w:ascii="Arial" w:eastAsia="MS PGothic" w:hAnsi="Arial" w:cs="Arial"/>
          <w:color w:val="000000"/>
          <w:sz w:val="20"/>
          <w:szCs w:val="20"/>
        </w:rPr>
        <w:t> – MCG tx power} where ‘MCG tx power’ is the actual transmission power of MCG</w:t>
      </w:r>
    </w:p>
    <w:p w:rsidR="007E683D" w:rsidRPr="006C1ACD" w:rsidRDefault="007E683D" w:rsidP="007E683D">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Otherwise, pwr_SCG &lt;= P</w:t>
      </w:r>
      <w:r w:rsidRPr="006C1ACD">
        <w:rPr>
          <w:rFonts w:ascii="Arial" w:eastAsia="MS PGothic" w:hAnsi="Arial" w:cs="Arial"/>
          <w:color w:val="000000"/>
          <w:sz w:val="20"/>
          <w:szCs w:val="20"/>
          <w:vertAlign w:val="subscript"/>
        </w:rPr>
        <w:t>total</w:t>
      </w:r>
      <w:r w:rsidRPr="006C1ACD">
        <w:rPr>
          <w:rFonts w:ascii="Arial" w:eastAsia="MS PGothic" w:hAnsi="Arial" w:cs="Arial"/>
          <w:color w:val="000000"/>
          <w:sz w:val="20"/>
          <w:szCs w:val="20"/>
        </w:rPr>
        <w:t xml:space="preserve">;  </w:t>
      </w:r>
    </w:p>
    <w:p w:rsidR="007E683D" w:rsidRPr="006C1ACD" w:rsidRDefault="007E683D" w:rsidP="007E683D">
      <w:pPr>
        <w:numPr>
          <w:ilvl w:val="0"/>
          <w:numId w:val="21"/>
        </w:numPr>
        <w:rPr>
          <w:rFonts w:ascii="Arial" w:eastAsia="MS PGothic" w:hAnsi="Arial" w:cs="Arial"/>
          <w:color w:val="000000"/>
          <w:sz w:val="20"/>
          <w:szCs w:val="20"/>
        </w:rPr>
      </w:pPr>
      <w:r w:rsidRPr="006C1ACD">
        <w:rPr>
          <w:rFonts w:ascii="Arial" w:eastAsia="MS PGothic" w:hAnsi="Arial" w:cs="Arial"/>
          <w:color w:val="000000"/>
          <w:sz w:val="20"/>
          <w:szCs w:val="20"/>
        </w:rPr>
        <w:t xml:space="preserve">UE does not expect to be scheduled by PDCCH(s) received on MCG after T0-[T_offset] that trigger(s) MCG UL transmission(s) that overlaps with the SCG transmission.  </w:t>
      </w:r>
    </w:p>
    <w:p w:rsidR="007E683D" w:rsidRPr="006C1ACD" w:rsidRDefault="007E683D" w:rsidP="007E683D">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w:t>
      </w:r>
      <w:r w:rsidRPr="006C1ACD">
        <w:rPr>
          <w:rFonts w:ascii="Arial" w:eastAsia="MS PGothic" w:hAnsi="Arial" w:cs="Arial"/>
          <w:color w:val="000000"/>
          <w:sz w:val="20"/>
          <w:szCs w:val="20"/>
          <w:highlight w:val="darkYellow"/>
        </w:rPr>
        <w:t>working assumption</w:t>
      </w:r>
      <w:r w:rsidRPr="006C1ACD">
        <w:rPr>
          <w:rFonts w:ascii="Arial" w:eastAsia="MS PGothic" w:hAnsi="Arial" w:cs="Arial"/>
          <w:color w:val="000000"/>
          <w:sz w:val="20"/>
          <w:szCs w:val="20"/>
        </w:rPr>
        <w:t xml:space="preserve">) No new RRC signaling is introduced for T_offset: </w:t>
      </w:r>
    </w:p>
    <w:p w:rsidR="007E683D" w:rsidRPr="006C1ACD" w:rsidRDefault="007E683D" w:rsidP="007E683D">
      <w:pPr>
        <w:numPr>
          <w:ilvl w:val="2"/>
          <w:numId w:val="21"/>
        </w:numPr>
        <w:rPr>
          <w:rFonts w:ascii="Arial" w:eastAsia="MS PGothic" w:hAnsi="Arial" w:cs="Arial"/>
          <w:color w:val="000000"/>
          <w:sz w:val="20"/>
          <w:szCs w:val="20"/>
        </w:rPr>
      </w:pPr>
      <w:r w:rsidRPr="006C1ACD">
        <w:rPr>
          <w:rFonts w:ascii="Arial" w:eastAsia="MS PGothic" w:hAnsi="Arial" w:cs="Arial"/>
          <w:color w:val="000000"/>
          <w:sz w:val="20"/>
          <w:szCs w:val="20"/>
        </w:rPr>
        <w:t>Alt.1: T_offset &lt;= T_proc,2</w:t>
      </w:r>
    </w:p>
    <w:p w:rsidR="007E683D" w:rsidRPr="006C1ACD" w:rsidRDefault="007E683D" w:rsidP="007E683D">
      <w:pPr>
        <w:numPr>
          <w:ilvl w:val="2"/>
          <w:numId w:val="21"/>
        </w:numPr>
        <w:rPr>
          <w:rFonts w:ascii="Arial" w:eastAsia="MS PGothic" w:hAnsi="Arial" w:cs="Arial"/>
          <w:color w:val="000000"/>
          <w:sz w:val="20"/>
          <w:szCs w:val="20"/>
        </w:rPr>
      </w:pPr>
      <w:r w:rsidRPr="006C1ACD">
        <w:rPr>
          <w:rFonts w:ascii="Arial" w:eastAsia="MS PGothic" w:hAnsi="Arial" w:cs="Arial"/>
          <w:color w:val="000000"/>
          <w:sz w:val="20"/>
          <w:szCs w:val="20"/>
        </w:rPr>
        <w:t>Alt.2: T_offset &lt;= 2*T_proc,2</w:t>
      </w:r>
    </w:p>
    <w:p w:rsidR="007E683D" w:rsidRPr="006C1ACD" w:rsidRDefault="007E683D" w:rsidP="007E683D">
      <w:pPr>
        <w:numPr>
          <w:ilvl w:val="2"/>
          <w:numId w:val="21"/>
        </w:numPr>
        <w:rPr>
          <w:rFonts w:ascii="Arial" w:eastAsia="MS PGothic" w:hAnsi="Arial" w:cs="Arial"/>
          <w:color w:val="000000"/>
          <w:sz w:val="20"/>
          <w:szCs w:val="20"/>
        </w:rPr>
      </w:pPr>
      <w:r w:rsidRPr="006C1ACD">
        <w:rPr>
          <w:rFonts w:ascii="Arial" w:eastAsia="MS PGothic" w:hAnsi="Arial" w:cs="Arial"/>
          <w:color w:val="000000"/>
          <w:sz w:val="20"/>
          <w:szCs w:val="20"/>
        </w:rPr>
        <w:t>Alt.3: T_offset reasonbly larger than Alt 1. &amp; Alt 2 but &lt;=4ms</w:t>
      </w:r>
    </w:p>
    <w:p w:rsidR="007E683D" w:rsidRPr="006C1ACD" w:rsidRDefault="007E683D" w:rsidP="00E83451">
      <w:pPr>
        <w:ind w:left="720" w:firstLine="720"/>
        <w:rPr>
          <w:sz w:val="20"/>
          <w:szCs w:val="20"/>
        </w:rPr>
      </w:pPr>
      <w:r w:rsidRPr="006C1ACD">
        <w:rPr>
          <w:rFonts w:ascii="Arial" w:eastAsia="MS PGothic" w:hAnsi="Arial" w:cs="Arial"/>
          <w:color w:val="000000"/>
          <w:sz w:val="20"/>
          <w:szCs w:val="20"/>
        </w:rPr>
        <w:t>To be addressed in the CR stage</w:t>
      </w:r>
    </w:p>
    <w:p w:rsidR="00DA4FB3" w:rsidRDefault="00DA4FB3" w:rsidP="00BE7765"/>
    <w:p w:rsidR="00DA4FB3" w:rsidRDefault="00DA4FB3" w:rsidP="00BE7765">
      <w:r>
        <w:t>This tdoc focus</w:t>
      </w:r>
      <w:r w:rsidR="007E683D">
        <w:t>es</w:t>
      </w:r>
      <w:r>
        <w:t xml:space="preserve"> on the </w:t>
      </w:r>
      <w:r w:rsidR="00460C54">
        <w:t>remaining details</w:t>
      </w:r>
      <w:r w:rsidR="00D77B4D">
        <w:t xml:space="preserve"> of</w:t>
      </w:r>
      <w:r w:rsidR="007E683D">
        <w:t xml:space="preserve"> </w:t>
      </w:r>
      <w:r>
        <w:t>d</w:t>
      </w:r>
      <w:r w:rsidRPr="00DA4FB3">
        <w:t xml:space="preserve">ynamic </w:t>
      </w:r>
      <w:r>
        <w:t>power s</w:t>
      </w:r>
      <w:r w:rsidR="007E683D">
        <w:t xml:space="preserve">haring </w:t>
      </w:r>
      <w:r w:rsidRPr="00DA4FB3">
        <w:t>for Rel-16 NN-DC</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C522D8">
        <w:rPr>
          <w:rFonts w:cs="Arial"/>
          <w:color w:val="000000" w:themeColor="text1"/>
        </w:rPr>
        <w:t xml:space="preserve">Dynamic </w:t>
      </w:r>
      <w:r w:rsidR="00C522D8" w:rsidRPr="00C522D8">
        <w:rPr>
          <w:rFonts w:cs="Arial"/>
          <w:color w:val="000000" w:themeColor="text1"/>
        </w:rPr>
        <w:t>Power Sharing for NN-DC</w:t>
      </w:r>
    </w:p>
    <w:p w:rsidR="00C114AA" w:rsidRDefault="00C114AA" w:rsidP="009120A3">
      <w:pPr>
        <w:spacing w:before="120"/>
      </w:pPr>
      <w:r>
        <w:rPr>
          <w:rFonts w:ascii="Arial" w:eastAsia="MS Mincho" w:hAnsi="Arial" w:cs="Arial"/>
          <w:b/>
          <w:sz w:val="28"/>
          <w:szCs w:val="28"/>
          <w:u w:val="single"/>
          <w:lang w:val="en-GB"/>
        </w:rPr>
        <w:t>2.1</w:t>
      </w:r>
      <w:r w:rsidRPr="00F116B8">
        <w:rPr>
          <w:rFonts w:ascii="Arial" w:eastAsia="MS Mincho" w:hAnsi="Arial" w:cs="Arial"/>
          <w:b/>
          <w:sz w:val="28"/>
          <w:szCs w:val="28"/>
          <w:u w:val="single"/>
          <w:lang w:val="en-GB"/>
        </w:rPr>
        <w:t xml:space="preserve"> </w:t>
      </w:r>
      <w:r>
        <w:rPr>
          <w:rFonts w:ascii="Arial" w:eastAsia="MS Mincho" w:hAnsi="Arial" w:cs="Arial"/>
          <w:b/>
          <w:sz w:val="28"/>
          <w:szCs w:val="28"/>
          <w:u w:val="single"/>
          <w:lang w:val="en-GB"/>
        </w:rPr>
        <w:t>Support of dynamic power sharing in NN-DC</w:t>
      </w:r>
    </w:p>
    <w:p w:rsidR="00D569AD" w:rsidRDefault="00C114AA" w:rsidP="009120A3">
      <w:pPr>
        <w:spacing w:before="120"/>
        <w:rPr>
          <w:rFonts w:asciiTheme="majorBidi" w:hAnsiTheme="majorBidi" w:cstheme="majorBidi"/>
          <w:bCs/>
          <w:iCs/>
        </w:rPr>
      </w:pPr>
      <w:r>
        <w:t xml:space="preserve">In RAN1 </w:t>
      </w:r>
      <w:r w:rsidR="001273E4">
        <w:t>#</w:t>
      </w:r>
      <w:r>
        <w:t>98bis meeting</w:t>
      </w:r>
      <w:r w:rsidR="001273E4">
        <w:t xml:space="preserve"> [1]</w:t>
      </w:r>
      <w:r>
        <w:t xml:space="preserve">, </w:t>
      </w:r>
      <w:r w:rsidR="00C07241">
        <w:t xml:space="preserve">it is agreed that </w:t>
      </w:r>
      <w:r w:rsidR="00C07241" w:rsidRPr="00084FFC">
        <w:rPr>
          <w:b/>
        </w:rPr>
        <w:t>dynamic power sharing is supported</w:t>
      </w:r>
      <w:r w:rsidR="004C6B70" w:rsidRPr="00084FFC">
        <w:rPr>
          <w:b/>
        </w:rPr>
        <w:t xml:space="preserve"> by UE capability</w:t>
      </w:r>
      <w:r w:rsidR="004C6B70">
        <w:t xml:space="preserve">. </w:t>
      </w:r>
    </w:p>
    <w:p w:rsidR="00084FFC" w:rsidRDefault="00084FFC" w:rsidP="009120A3">
      <w:pPr>
        <w:spacing w:before="120"/>
        <w:rPr>
          <w:lang w:val="en-GB"/>
        </w:rPr>
      </w:pPr>
      <w:r>
        <w:rPr>
          <w:lang w:val="en-GB"/>
        </w:rPr>
        <w:t xml:space="preserve">In RAN1 </w:t>
      </w:r>
      <w:r w:rsidR="001273E4">
        <w:rPr>
          <w:lang w:val="en-GB"/>
        </w:rPr>
        <w:t>#</w:t>
      </w:r>
      <w:r>
        <w:rPr>
          <w:lang w:val="en-GB"/>
        </w:rPr>
        <w:t>99 meeting</w:t>
      </w:r>
      <w:r w:rsidR="001273E4">
        <w:rPr>
          <w:lang w:val="en-GB"/>
        </w:rPr>
        <w:t xml:space="preserve"> [2]</w:t>
      </w:r>
      <w:r>
        <w:rPr>
          <w:lang w:val="en-GB"/>
        </w:rPr>
        <w:t xml:space="preserve">, it is agreed that </w:t>
      </w:r>
      <w:r w:rsidRPr="00084FFC">
        <w:rPr>
          <w:b/>
          <w:lang w:val="en-GB"/>
        </w:rPr>
        <w:t>Alt.1-2 of</w:t>
      </w:r>
      <w:r w:rsidRPr="00084FFC">
        <w:rPr>
          <w:rFonts w:ascii="Arial" w:hAnsi="Arial" w:cs="Arial"/>
          <w:b/>
        </w:rPr>
        <w:t xml:space="preserve"> </w:t>
      </w:r>
      <w:r w:rsidRPr="00084FFC">
        <w:rPr>
          <w:b/>
          <w:lang w:val="en-GB"/>
        </w:rPr>
        <w:t>semi-static power sharing can be configured for synchronous DC scenario only</w:t>
      </w:r>
      <w:r>
        <w:rPr>
          <w:lang w:val="en-GB"/>
        </w:rPr>
        <w:t>.</w:t>
      </w:r>
    </w:p>
    <w:p w:rsidR="00084FFC" w:rsidRDefault="00084FFC" w:rsidP="009120A3">
      <w:pPr>
        <w:spacing w:before="120"/>
        <w:rPr>
          <w:lang w:val="en-GB"/>
        </w:rPr>
      </w:pPr>
    </w:p>
    <w:p w:rsidR="00D569AD" w:rsidRDefault="00C114AA" w:rsidP="00D569AD">
      <w:pPr>
        <w:jc w:val="both"/>
        <w:rPr>
          <w:szCs w:val="22"/>
        </w:rPr>
      </w:pPr>
      <w:r>
        <w:rPr>
          <w:szCs w:val="22"/>
          <w:lang w:val="en-GB"/>
        </w:rPr>
        <w:lastRenderedPageBreak/>
        <w:t>It is noted that</w:t>
      </w:r>
      <w:r w:rsidR="00D569AD">
        <w:rPr>
          <w:szCs w:val="22"/>
        </w:rPr>
        <w:t xml:space="preserve"> </w:t>
      </w:r>
      <w:r w:rsidR="00D569AD" w:rsidRPr="00F71A73">
        <w:rPr>
          <w:szCs w:val="22"/>
        </w:rPr>
        <w:t>async</w:t>
      </w:r>
      <w:r w:rsidR="00D569AD">
        <w:rPr>
          <w:szCs w:val="22"/>
        </w:rPr>
        <w:t>hronous</w:t>
      </w:r>
      <w:r w:rsidR="00D569AD" w:rsidRPr="00F71A73">
        <w:rPr>
          <w:szCs w:val="22"/>
        </w:rPr>
        <w:t xml:space="preserve"> DC is supportable with an architecture that has distinct hardware blocks </w:t>
      </w:r>
      <w:r w:rsidR="00D569AD">
        <w:rPr>
          <w:szCs w:val="22"/>
        </w:rPr>
        <w:t>belonging</w:t>
      </w:r>
      <w:r w:rsidR="00D569AD" w:rsidRPr="00F71A73">
        <w:rPr>
          <w:szCs w:val="22"/>
        </w:rPr>
        <w:t xml:space="preserve"> to </w:t>
      </w:r>
      <w:r w:rsidR="00D569AD">
        <w:rPr>
          <w:szCs w:val="22"/>
        </w:rPr>
        <w:t>the two cell groups</w:t>
      </w:r>
      <w:r w:rsidR="00D569AD" w:rsidRPr="00F71A73">
        <w:rPr>
          <w:szCs w:val="22"/>
        </w:rPr>
        <w:t>.</w:t>
      </w:r>
      <w:r w:rsidR="001745FE">
        <w:rPr>
          <w:szCs w:val="22"/>
        </w:rPr>
        <w:t xml:space="preserve"> Since </w:t>
      </w:r>
      <w:r w:rsidR="001745FE" w:rsidRPr="001745FE">
        <w:rPr>
          <w:b/>
          <w:szCs w:val="22"/>
        </w:rPr>
        <w:t>for dynamic power sharing</w:t>
      </w:r>
      <w:r w:rsidR="001745FE">
        <w:rPr>
          <w:szCs w:val="22"/>
        </w:rPr>
        <w:t xml:space="preserve">, one CG also has to refer to the transmission status of another CG as </w:t>
      </w:r>
      <w:r w:rsidR="001745FE" w:rsidRPr="001745FE">
        <w:rPr>
          <w:szCs w:val="22"/>
        </w:rPr>
        <w:t>Alt.1-2 of semi-static power sharing</w:t>
      </w:r>
      <w:r w:rsidR="001273E4">
        <w:rPr>
          <w:szCs w:val="22"/>
        </w:rPr>
        <w:t>, while the operation is</w:t>
      </w:r>
      <w:r w:rsidR="001745FE">
        <w:rPr>
          <w:szCs w:val="22"/>
        </w:rPr>
        <w:t xml:space="preserve"> even more complicated</w:t>
      </w:r>
      <w:r w:rsidR="00D569AD">
        <w:rPr>
          <w:szCs w:val="22"/>
        </w:rPr>
        <w:t>, we have the following proposal:</w:t>
      </w:r>
    </w:p>
    <w:p w:rsidR="00D569AD" w:rsidRDefault="00D569AD" w:rsidP="00D569AD">
      <w:pPr>
        <w:jc w:val="both"/>
        <w:rPr>
          <w:szCs w:val="22"/>
        </w:rPr>
      </w:pPr>
    </w:p>
    <w:p w:rsidR="00D569AD" w:rsidRPr="001745FE" w:rsidRDefault="00D569AD" w:rsidP="00D569AD">
      <w:pPr>
        <w:jc w:val="both"/>
        <w:rPr>
          <w:b/>
          <w:u w:val="single"/>
        </w:rPr>
      </w:pPr>
      <w:r>
        <w:rPr>
          <w:b/>
          <w:u w:val="single"/>
        </w:rPr>
        <w:t>Proposal 1</w:t>
      </w:r>
      <w:r w:rsidRPr="00D569AD">
        <w:rPr>
          <w:b/>
          <w:u w:val="single"/>
        </w:rPr>
        <w:t xml:space="preserve">: </w:t>
      </w:r>
      <w:r w:rsidR="001745FE" w:rsidRPr="001745FE">
        <w:rPr>
          <w:b/>
          <w:u w:val="single"/>
        </w:rPr>
        <w:t>Dynamic power sharing can be configured for synchronous DC scenario only.</w:t>
      </w:r>
    </w:p>
    <w:p w:rsidR="00B73628" w:rsidRDefault="00B73628" w:rsidP="00B73628">
      <w:pPr>
        <w:jc w:val="both"/>
        <w:rPr>
          <w:szCs w:val="22"/>
        </w:rPr>
      </w:pPr>
    </w:p>
    <w:p w:rsidR="00B73628" w:rsidRDefault="00B73628" w:rsidP="00D569AD">
      <w:pPr>
        <w:jc w:val="both"/>
        <w:rPr>
          <w:szCs w:val="22"/>
        </w:rPr>
      </w:pPr>
    </w:p>
    <w:p w:rsidR="00CB5E6E" w:rsidRDefault="00E6534A" w:rsidP="00D569AD">
      <w:pPr>
        <w:jc w:val="both"/>
        <w:rPr>
          <w:szCs w:val="22"/>
        </w:rPr>
      </w:pPr>
      <w:r>
        <w:rPr>
          <w:rFonts w:ascii="Arial" w:eastAsia="MS Mincho" w:hAnsi="Arial" w:cs="Arial"/>
          <w:b/>
          <w:sz w:val="28"/>
          <w:szCs w:val="28"/>
          <w:u w:val="single"/>
          <w:lang w:val="en-GB"/>
        </w:rPr>
        <w:t>2.2</w:t>
      </w:r>
      <w:r w:rsidR="00CB5E6E" w:rsidRPr="00F116B8">
        <w:rPr>
          <w:rFonts w:ascii="Arial" w:eastAsia="MS Mincho" w:hAnsi="Arial" w:cs="Arial"/>
          <w:b/>
          <w:sz w:val="28"/>
          <w:szCs w:val="28"/>
          <w:u w:val="single"/>
          <w:lang w:val="en-GB"/>
        </w:rPr>
        <w:t xml:space="preserve"> </w:t>
      </w:r>
      <w:r w:rsidR="00CB5E6E">
        <w:rPr>
          <w:rFonts w:ascii="Arial" w:eastAsia="MS Mincho" w:hAnsi="Arial" w:cs="Arial"/>
          <w:b/>
          <w:bCs/>
          <w:sz w:val="28"/>
          <w:szCs w:val="28"/>
          <w:u w:val="single"/>
        </w:rPr>
        <w:t>Look ahead operation</w:t>
      </w:r>
    </w:p>
    <w:p w:rsidR="0098244D" w:rsidRDefault="0098244D" w:rsidP="00D569AD">
      <w:pPr>
        <w:jc w:val="both"/>
        <w:rPr>
          <w:szCs w:val="22"/>
        </w:rPr>
      </w:pPr>
    </w:p>
    <w:p w:rsidR="00DD29E2" w:rsidRDefault="00E83451" w:rsidP="00D569AD">
      <w:pPr>
        <w:jc w:val="both"/>
      </w:pPr>
      <w:r>
        <w:rPr>
          <w:noProof/>
        </w:rPr>
        <mc:AlternateContent>
          <mc:Choice Requires="wps">
            <w:drawing>
              <wp:anchor distT="45720" distB="45720" distL="114300" distR="114300" simplePos="0" relativeHeight="251659264" behindDoc="0" locked="0" layoutInCell="1" allowOverlap="1">
                <wp:simplePos x="0" y="0"/>
                <wp:positionH relativeFrom="margin">
                  <wp:posOffset>-635</wp:posOffset>
                </wp:positionH>
                <wp:positionV relativeFrom="paragraph">
                  <wp:posOffset>984885</wp:posOffset>
                </wp:positionV>
                <wp:extent cx="6772275" cy="1404620"/>
                <wp:effectExtent l="0" t="0" r="285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1404620"/>
                        </a:xfrm>
                        <a:prstGeom prst="rect">
                          <a:avLst/>
                        </a:prstGeom>
                        <a:solidFill>
                          <a:srgbClr val="FFFFFF"/>
                        </a:solidFill>
                        <a:ln w="9525">
                          <a:solidFill>
                            <a:srgbClr val="000000"/>
                          </a:solidFill>
                          <a:miter lim="800000"/>
                          <a:headEnd/>
                          <a:tailEnd/>
                        </a:ln>
                      </wps:spPr>
                      <wps:txbx>
                        <w:txbxContent>
                          <w:p w:rsidR="00E83451" w:rsidRPr="006C1ACD" w:rsidRDefault="00E83451" w:rsidP="00E83451">
                            <w:pPr>
                              <w:numPr>
                                <w:ilvl w:val="0"/>
                                <w:numId w:val="21"/>
                              </w:numPr>
                              <w:rPr>
                                <w:rFonts w:ascii="Arial" w:eastAsia="MS PGothic" w:hAnsi="Arial" w:cs="Arial"/>
                                <w:color w:val="000000"/>
                                <w:sz w:val="20"/>
                                <w:szCs w:val="20"/>
                              </w:rPr>
                            </w:pPr>
                            <w:r w:rsidRPr="006C1ACD">
                              <w:rPr>
                                <w:rFonts w:ascii="Arial" w:eastAsia="MS PGothic" w:hAnsi="Arial" w:cs="Arial"/>
                                <w:color w:val="000000"/>
                                <w:sz w:val="20"/>
                                <w:szCs w:val="20"/>
                              </w:rPr>
                              <w:t>(</w:t>
                            </w:r>
                            <w:r w:rsidRPr="006C1ACD">
                              <w:rPr>
                                <w:rFonts w:ascii="Arial" w:eastAsia="MS PGothic" w:hAnsi="Arial" w:cs="Arial"/>
                                <w:color w:val="000000"/>
                                <w:sz w:val="20"/>
                                <w:szCs w:val="20"/>
                                <w:highlight w:val="darkYellow"/>
                              </w:rPr>
                              <w:t>working assumption</w:t>
                            </w:r>
                            <w:r w:rsidRPr="006C1ACD">
                              <w:rPr>
                                <w:rFonts w:ascii="Arial" w:eastAsia="MS PGothic" w:hAnsi="Arial" w:cs="Arial"/>
                                <w:color w:val="000000"/>
                                <w:sz w:val="20"/>
                                <w:szCs w:val="20"/>
                              </w:rPr>
                              <w:t xml:space="preserve">) No new RRC signaling is introduced for T_offset: </w:t>
                            </w:r>
                          </w:p>
                          <w:p w:rsidR="00E83451" w:rsidRPr="006C1ACD" w:rsidRDefault="00E83451" w:rsidP="00E83451">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Alt.1: T_offset &lt;= T_proc,2</w:t>
                            </w:r>
                          </w:p>
                          <w:p w:rsidR="00E83451" w:rsidRPr="006C1ACD" w:rsidRDefault="00E83451" w:rsidP="00E83451">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Alt.2: T_offset &lt;= 2*T_proc,2</w:t>
                            </w:r>
                          </w:p>
                          <w:p w:rsidR="00E83451" w:rsidRPr="00E83451" w:rsidRDefault="00E83451" w:rsidP="00E83451">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Alt.3: T_offset reasonbly larger than Alt 1. &amp; Alt 2 but &lt;=4ms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5pt;margin-top:77.55pt;width:533.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">
                <v:textbox style="mso-fit-shape-to-text:t">
                  <w:txbxContent>
                    <w:p w:rsidR="00E83451" w:rsidRPr="006C1ACD" w:rsidRDefault="00E83451" w:rsidP="00E83451">
                      <w:pPr>
                        <w:numPr>
                          <w:ilvl w:val="0"/>
                          <w:numId w:val="21"/>
                        </w:numPr>
                        <w:rPr>
                          <w:rFonts w:ascii="Arial" w:eastAsia="MS PGothic" w:hAnsi="Arial" w:cs="Arial"/>
                          <w:color w:val="000000"/>
                          <w:sz w:val="20"/>
                          <w:szCs w:val="20"/>
                        </w:rPr>
                      </w:pPr>
                      <w:r w:rsidRPr="006C1ACD">
                        <w:rPr>
                          <w:rFonts w:ascii="Arial" w:eastAsia="MS PGothic" w:hAnsi="Arial" w:cs="Arial"/>
                          <w:color w:val="000000"/>
                          <w:sz w:val="20"/>
                          <w:szCs w:val="20"/>
                        </w:rPr>
                        <w:t>(</w:t>
                      </w:r>
                      <w:r w:rsidRPr="006C1ACD">
                        <w:rPr>
                          <w:rFonts w:ascii="Arial" w:eastAsia="MS PGothic" w:hAnsi="Arial" w:cs="Arial"/>
                          <w:color w:val="000000"/>
                          <w:sz w:val="20"/>
                          <w:szCs w:val="20"/>
                          <w:highlight w:val="darkYellow"/>
                        </w:rPr>
                        <w:t>working assumption</w:t>
                      </w:r>
                      <w:r w:rsidRPr="006C1ACD">
                        <w:rPr>
                          <w:rFonts w:ascii="Arial" w:eastAsia="MS PGothic" w:hAnsi="Arial" w:cs="Arial"/>
                          <w:color w:val="000000"/>
                          <w:sz w:val="20"/>
                          <w:szCs w:val="20"/>
                        </w:rPr>
                        <w:t xml:space="preserve">) No new RRC signaling is introduced for T_offset: </w:t>
                      </w:r>
                    </w:p>
                    <w:p w:rsidR="00E83451" w:rsidRPr="006C1ACD" w:rsidRDefault="00E83451" w:rsidP="00E83451">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Alt.1: T_offset &lt;= T_proc,2</w:t>
                      </w:r>
                    </w:p>
                    <w:p w:rsidR="00E83451" w:rsidRPr="006C1ACD" w:rsidRDefault="00E83451" w:rsidP="00E83451">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Alt.2: T_offset &lt;= 2*T_proc,2</w:t>
                      </w:r>
                    </w:p>
                    <w:p w:rsidR="00E83451" w:rsidRPr="00E83451" w:rsidRDefault="00E83451" w:rsidP="00E83451">
                      <w:pPr>
                        <w:numPr>
                          <w:ilvl w:val="1"/>
                          <w:numId w:val="21"/>
                        </w:numPr>
                        <w:rPr>
                          <w:rFonts w:ascii="Arial" w:eastAsia="MS PGothic" w:hAnsi="Arial" w:cs="Arial"/>
                          <w:color w:val="000000"/>
                          <w:sz w:val="20"/>
                          <w:szCs w:val="20"/>
                        </w:rPr>
                      </w:pPr>
                      <w:r w:rsidRPr="006C1ACD">
                        <w:rPr>
                          <w:rFonts w:ascii="Arial" w:eastAsia="MS PGothic" w:hAnsi="Arial" w:cs="Arial"/>
                          <w:color w:val="000000"/>
                          <w:sz w:val="20"/>
                          <w:szCs w:val="20"/>
                        </w:rPr>
                        <w:t>Alt.3: T_offset reasonbly larger than Alt 1. &amp; Alt 2 but &lt;=4ms</w:t>
                      </w:r>
                    </w:p>
                  </w:txbxContent>
                </v:textbox>
                <w10:wrap type="square" anchorx="margin"/>
              </v:shape>
            </w:pict>
          </mc:Fallback>
        </mc:AlternateContent>
      </w:r>
      <w:r w:rsidR="00450E7E">
        <w:rPr>
          <w:szCs w:val="22"/>
        </w:rPr>
        <w:t xml:space="preserve">On top of </w:t>
      </w:r>
      <w:r w:rsidR="00E6534A">
        <w:rPr>
          <w:szCs w:val="22"/>
        </w:rPr>
        <w:t>dynamic power sharing,</w:t>
      </w:r>
      <w:r w:rsidR="00D569AD">
        <w:rPr>
          <w:szCs w:val="22"/>
        </w:rPr>
        <w:t xml:space="preserve"> </w:t>
      </w:r>
      <w:r w:rsidR="00E6534A">
        <w:rPr>
          <w:szCs w:val="22"/>
        </w:rPr>
        <w:t>i</w:t>
      </w:r>
      <w:r w:rsidR="00CB5E6E">
        <w:rPr>
          <w:szCs w:val="22"/>
        </w:rPr>
        <w:t>t is agreed in RAN1 98-bis</w:t>
      </w:r>
      <w:r w:rsidR="00442E22">
        <w:rPr>
          <w:szCs w:val="22"/>
        </w:rPr>
        <w:t xml:space="preserve"> [1]</w:t>
      </w:r>
      <w:r w:rsidR="00CB5E6E">
        <w:rPr>
          <w:szCs w:val="22"/>
        </w:rPr>
        <w:t xml:space="preserve"> that support of look-ahead operation is supported as a separate UE capability. </w:t>
      </w:r>
      <w:r w:rsidR="00D569AD" w:rsidRPr="00D569AD">
        <w:t>‘</w:t>
      </w:r>
      <w:r w:rsidR="00D569AD">
        <w:t>L</w:t>
      </w:r>
      <w:r w:rsidR="00D569AD" w:rsidRPr="00D569AD">
        <w:t xml:space="preserve">ook-ahead’ is </w:t>
      </w:r>
      <w:r w:rsidR="00E5123C">
        <w:t xml:space="preserve">a </w:t>
      </w:r>
      <w:r w:rsidR="00CB5E6E">
        <w:t>kind of UE operation</w:t>
      </w:r>
      <w:r w:rsidR="00D569AD" w:rsidRPr="00D569AD">
        <w:t xml:space="preserve"> that can determine transmission power of a signal/channel at a given time instance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00D569AD" w:rsidRPr="00D569AD">
        <w:t xml:space="preserve"> </w:t>
      </w:r>
      <w:r w:rsidR="00C811F6">
        <w:t xml:space="preserve">while taking into account the </w:t>
      </w:r>
      <w:r w:rsidR="00D569AD" w:rsidRPr="00D569AD">
        <w:t xml:space="preserve">overlapped later UL transmissions that are scheduled by a DCI transmitted until time instance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sidR="00D569AD" w:rsidRPr="00D569AD">
        <w:t xml:space="preserve">. </w:t>
      </w:r>
      <w:r w:rsidR="00DD29E2">
        <w:t xml:space="preserve">In RAN1 </w:t>
      </w:r>
      <w:r>
        <w:t>#</w:t>
      </w:r>
      <w:r w:rsidR="00DD29E2">
        <w:t>99</w:t>
      </w:r>
      <w:r>
        <w:t xml:space="preserve"> [2]</w:t>
      </w:r>
      <w:r w:rsidR="00DD29E2">
        <w:t>, it is agreed as a working assumption that</w:t>
      </w:r>
    </w:p>
    <w:p w:rsidR="00DD29E2" w:rsidRDefault="00DD29E2" w:rsidP="00D569AD">
      <w:pPr>
        <w:jc w:val="both"/>
        <w:rPr>
          <w:rFonts w:ascii="Arial" w:eastAsia="MS PGothic" w:hAnsi="Arial" w:cs="Arial"/>
          <w:color w:val="000000"/>
          <w:sz w:val="20"/>
          <w:szCs w:val="20"/>
        </w:rPr>
      </w:pPr>
      <w:r>
        <w:t xml:space="preserve">where </w:t>
      </w:r>
      <w:r w:rsidRPr="006C1ACD">
        <w:rPr>
          <w:rFonts w:ascii="Arial" w:eastAsia="MS PGothic" w:hAnsi="Arial" w:cs="Arial"/>
          <w:color w:val="000000"/>
          <w:sz w:val="20"/>
          <w:szCs w:val="20"/>
        </w:rPr>
        <w:t>T_proc,2</w:t>
      </w:r>
      <w:r>
        <w:rPr>
          <w:rFonts w:ascii="Arial" w:eastAsia="MS PGothic" w:hAnsi="Arial" w:cs="Arial"/>
          <w:color w:val="000000"/>
          <w:sz w:val="20"/>
          <w:szCs w:val="20"/>
        </w:rPr>
        <w:t xml:space="preserve"> is defined in 38.214</w:t>
      </w:r>
      <w:r w:rsidR="00E83451">
        <w:rPr>
          <w:rFonts w:ascii="Arial" w:eastAsia="MS PGothic" w:hAnsi="Arial" w:cs="Arial"/>
          <w:color w:val="000000"/>
          <w:sz w:val="20"/>
          <w:szCs w:val="20"/>
        </w:rPr>
        <w:t xml:space="preserve"> [3]</w:t>
      </w:r>
      <w:r>
        <w:rPr>
          <w:rFonts w:ascii="Arial" w:eastAsia="MS PGothic" w:hAnsi="Arial" w:cs="Arial"/>
          <w:color w:val="000000"/>
          <w:sz w:val="20"/>
          <w:szCs w:val="20"/>
        </w:rPr>
        <w:t xml:space="preserve"> </w:t>
      </w:r>
      <w:r w:rsidR="005C0EED" w:rsidRPr="00E83451">
        <w:rPr>
          <w:rFonts w:ascii="Arial" w:eastAsia="MS PGothic" w:hAnsi="Arial" w:cs="Arial"/>
          <w:color w:val="000000"/>
          <w:sz w:val="20"/>
          <w:szCs w:val="20"/>
          <w:u w:val="single"/>
        </w:rPr>
        <w:t xml:space="preserve">6.4 </w:t>
      </w:r>
      <w:r w:rsidRPr="00E83451">
        <w:rPr>
          <w:rFonts w:ascii="Arial" w:eastAsia="MS PGothic" w:hAnsi="Arial" w:cs="Arial"/>
          <w:color w:val="000000"/>
          <w:sz w:val="20"/>
          <w:szCs w:val="20"/>
          <w:u w:val="single"/>
        </w:rPr>
        <w:t>UE PUSCH preparation procedure time</w:t>
      </w:r>
      <w:r w:rsidR="005C0EED">
        <w:rPr>
          <w:rFonts w:ascii="Arial" w:eastAsia="MS PGothic" w:hAnsi="Arial" w:cs="Arial"/>
          <w:color w:val="000000"/>
          <w:sz w:val="20"/>
          <w:szCs w:val="20"/>
        </w:rPr>
        <w:t xml:space="preserve"> as</w:t>
      </w:r>
    </w:p>
    <w:p w:rsidR="00DD29E2" w:rsidRPr="00DD29E2" w:rsidRDefault="005C0EED" w:rsidP="00D569AD">
      <w:pPr>
        <w:jc w:val="both"/>
        <w:rPr>
          <w:rFonts w:ascii="Arial" w:eastAsia="MS PGothic" w:hAnsi="Arial" w:cs="Arial"/>
          <w:color w:val="000000"/>
          <w:sz w:val="20"/>
          <w:szCs w:val="20"/>
        </w:rPr>
      </w:pPr>
      <w:r w:rsidRPr="00541455">
        <w:rPr>
          <w:color w:val="000000"/>
          <w:position w:val="-16"/>
        </w:rPr>
        <w:object w:dxaOrig="47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1.75pt" o:ole="">
            <v:imagedata r:id="rId11" o:title=""/>
          </v:shape>
          <o:OLEObject Type="Embed" ProgID="Equation.DSMT4" ShapeID="_x0000_i1025" DrawAspect="Content" ObjectID="_1643212459" r:id="rId12"/>
        </w:object>
      </w:r>
    </w:p>
    <w:p w:rsidR="00DD29E2" w:rsidRDefault="00741E57" w:rsidP="00D569AD">
      <w:pPr>
        <w:jc w:val="both"/>
      </w:pPr>
      <w:r>
        <w:t xml:space="preserve">where </w:t>
      </w:r>
    </w:p>
    <w:p w:rsidR="00741E57" w:rsidRPr="00741E57" w:rsidRDefault="00741E57" w:rsidP="00741E57">
      <w:pPr>
        <w:pStyle w:val="a4"/>
        <w:numPr>
          <w:ilvl w:val="0"/>
          <w:numId w:val="24"/>
        </w:numPr>
        <w:jc w:val="both"/>
        <w:rPr>
          <w:lang w:val="en-AU"/>
        </w:rPr>
      </w:pPr>
      <w:r w:rsidRPr="00741E57">
        <w:rPr>
          <w:lang w:val="en-AU"/>
        </w:rPr>
        <w:t xml:space="preserve">If the first symbol of the PUSCH allocation consists of DM-RS only, then </w:t>
      </w:r>
      <w:r w:rsidRPr="00741E57">
        <w:rPr>
          <w:i/>
          <w:lang w:val="en-AU"/>
        </w:rPr>
        <w:t>d</w:t>
      </w:r>
      <w:r w:rsidRPr="00741E57">
        <w:rPr>
          <w:i/>
          <w:vertAlign w:val="subscript"/>
          <w:lang w:val="en-AU"/>
        </w:rPr>
        <w:t xml:space="preserve">2,1 </w:t>
      </w:r>
      <w:r w:rsidRPr="00741E57">
        <w:rPr>
          <w:lang w:val="en-AU"/>
        </w:rPr>
        <w:t>= 0</w:t>
      </w:r>
      <w:r w:rsidRPr="00741E57">
        <w:rPr>
          <w:i/>
          <w:lang w:val="en-AU"/>
        </w:rPr>
        <w:t xml:space="preserve">, </w:t>
      </w:r>
      <w:r w:rsidRPr="00741E57">
        <w:rPr>
          <w:lang w:val="en-AU"/>
        </w:rPr>
        <w:t xml:space="preserve">otherwise </w:t>
      </w:r>
      <w:r w:rsidRPr="00741E57">
        <w:rPr>
          <w:i/>
          <w:lang w:val="en-AU"/>
        </w:rPr>
        <w:t>d</w:t>
      </w:r>
      <w:r w:rsidRPr="00741E57">
        <w:rPr>
          <w:i/>
          <w:vertAlign w:val="subscript"/>
          <w:lang w:val="en-AU"/>
        </w:rPr>
        <w:t xml:space="preserve">2,1 </w:t>
      </w:r>
      <w:r w:rsidRPr="00741E57">
        <w:rPr>
          <w:lang w:val="en-AU"/>
        </w:rPr>
        <w:t>= 1</w:t>
      </w:r>
    </w:p>
    <w:p w:rsidR="00741E57" w:rsidRDefault="00741E57" w:rsidP="00741E57">
      <w:pPr>
        <w:pStyle w:val="a4"/>
        <w:numPr>
          <w:ilvl w:val="0"/>
          <w:numId w:val="24"/>
        </w:numPr>
        <w:jc w:val="both"/>
      </w:pPr>
      <w:r w:rsidRPr="00741E57">
        <w:rPr>
          <w:lang w:val="en-AU"/>
        </w:rPr>
        <w:t xml:space="preserve">If the scheduling DCI triggered a switch of BWP, </w:t>
      </w:r>
      <w:r w:rsidRPr="00741E57">
        <w:rPr>
          <w:i/>
          <w:lang w:val="en-AU"/>
        </w:rPr>
        <w:t>d</w:t>
      </w:r>
      <w:r w:rsidRPr="00741E57">
        <w:rPr>
          <w:i/>
          <w:vertAlign w:val="subscript"/>
          <w:lang w:val="en-AU"/>
        </w:rPr>
        <w:t>2,2</w:t>
      </w:r>
      <w:r w:rsidRPr="00741E57">
        <w:rPr>
          <w:lang w:val="en-AU"/>
        </w:rPr>
        <w:t xml:space="preserve"> equals to the switching time as defined in </w:t>
      </w:r>
      <w:r w:rsidR="0070090D">
        <w:rPr>
          <w:lang w:val="en-AU"/>
        </w:rPr>
        <w:t>TS 38.133</w:t>
      </w:r>
      <w:r w:rsidRPr="00741E57">
        <w:rPr>
          <w:lang w:val="en-AU"/>
        </w:rPr>
        <w:t xml:space="preserve">, otherwise </w:t>
      </w:r>
      <w:r w:rsidRPr="00741E57">
        <w:rPr>
          <w:i/>
          <w:lang w:val="en-AU"/>
        </w:rPr>
        <w:t>d</w:t>
      </w:r>
      <w:r w:rsidRPr="00741E57">
        <w:rPr>
          <w:i/>
          <w:vertAlign w:val="subscript"/>
          <w:lang w:val="en-AU"/>
        </w:rPr>
        <w:t>2,2</w:t>
      </w:r>
      <w:r w:rsidRPr="00741E57">
        <w:rPr>
          <w:lang w:val="en-AU"/>
        </w:rPr>
        <w:t>=0</w:t>
      </w:r>
    </w:p>
    <w:p w:rsidR="004C537E" w:rsidRDefault="004C537E" w:rsidP="00741E57">
      <w:pPr>
        <w:pStyle w:val="a4"/>
        <w:numPr>
          <w:ilvl w:val="0"/>
          <w:numId w:val="24"/>
        </w:numPr>
        <w:jc w:val="both"/>
      </w:pPr>
      <w:r>
        <w:t>N</w:t>
      </w:r>
      <w:r w:rsidRPr="00442E22">
        <w:rPr>
          <w:vertAlign w:val="subscript"/>
        </w:rPr>
        <w:t>2</w:t>
      </w:r>
      <w:r w:rsidR="00741E57">
        <w:t xml:space="preserve"> is</w:t>
      </w:r>
      <w:r>
        <w:t xml:space="preserve"> define</w:t>
      </w:r>
      <w:r w:rsidR="00741E57">
        <w:t>d</w:t>
      </w:r>
      <w:r>
        <w:t xml:space="preserve"> in TS38.214 Table 6.4-1</w:t>
      </w:r>
      <w:r w:rsidR="00741E57">
        <w:t xml:space="preserve"> and Table 6.4-2</w:t>
      </w:r>
      <w:r>
        <w:t>:</w:t>
      </w:r>
    </w:p>
    <w:p w:rsidR="004C537E" w:rsidRDefault="00741E57" w:rsidP="004C537E">
      <w:pPr>
        <w:jc w:val="center"/>
      </w:pPr>
      <w:r>
        <w:rPr>
          <w:noProof/>
        </w:rPr>
        <w:drawing>
          <wp:inline distT="0" distB="0" distL="0" distR="0" wp14:anchorId="1004F832" wp14:editId="233E9335">
            <wp:extent cx="4224337" cy="2182574"/>
            <wp:effectExtent l="0" t="0" r="508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9715" cy="2185353"/>
                    </a:xfrm>
                    <a:prstGeom prst="rect">
                      <a:avLst/>
                    </a:prstGeom>
                  </pic:spPr>
                </pic:pic>
              </a:graphicData>
            </a:graphic>
          </wp:inline>
        </w:drawing>
      </w:r>
    </w:p>
    <w:p w:rsidR="005C0EED" w:rsidRDefault="005C0EED" w:rsidP="00D569AD">
      <w:pPr>
        <w:jc w:val="both"/>
      </w:pPr>
    </w:p>
    <w:p w:rsidR="004C537E" w:rsidRDefault="004C537E" w:rsidP="00D569AD">
      <w:pPr>
        <w:jc w:val="both"/>
      </w:pPr>
      <w:r>
        <w:t>Taking into account of possibly different numerology</w:t>
      </w:r>
      <w:r w:rsidR="00C0423E">
        <w:t xml:space="preserve"> in NN-DC, </w:t>
      </w:r>
      <w:r w:rsidR="00442E22">
        <w:t>using</w:t>
      </w:r>
      <w:r w:rsidR="007056B8">
        <w:t xml:space="preserve"> a conservative </w:t>
      </w:r>
      <w:r w:rsidR="007056B8" w:rsidRPr="007056B8">
        <w:t xml:space="preserve">value </w:t>
      </w:r>
      <w:r w:rsidR="007056B8" w:rsidRPr="007056B8">
        <w:rPr>
          <w:b/>
          <w:bCs/>
        </w:rPr>
        <w:t xml:space="preserve">Toffset </w:t>
      </w:r>
      <w:r w:rsidR="007056B8" w:rsidRPr="007056B8">
        <w:rPr>
          <w:b/>
        </w:rPr>
        <w:t xml:space="preserve">= </w:t>
      </w:r>
      <w:r w:rsidR="007056B8" w:rsidRPr="0070090D">
        <w:rPr>
          <w:b/>
        </w:rPr>
        <w:t>max</w:t>
      </w:r>
      <w:r w:rsidR="007056B8" w:rsidRPr="0070090D">
        <w:rPr>
          <w:b/>
          <w:vertAlign w:val="subscript"/>
        </w:rPr>
        <w:t>i</w:t>
      </w:r>
      <w:r w:rsidR="007056B8" w:rsidRPr="0070090D">
        <w:rPr>
          <w:b/>
        </w:rPr>
        <w:t>{</w:t>
      </w:r>
      <w:r w:rsidR="0070090D" w:rsidRPr="0070090D">
        <w:rPr>
          <w:rFonts w:eastAsia="MS PGothic"/>
          <w:b/>
          <w:color w:val="000000"/>
        </w:rPr>
        <w:t>T_proc,2,i</w:t>
      </w:r>
      <w:r w:rsidR="007056B8" w:rsidRPr="0070090D">
        <w:rPr>
          <w:b/>
        </w:rPr>
        <w:t>}</w:t>
      </w:r>
      <w:r w:rsidR="007056B8" w:rsidRPr="007056B8">
        <w:rPr>
          <w:b/>
        </w:rPr>
        <w:t xml:space="preserve">, where </w:t>
      </w:r>
      <w:r w:rsidR="0070090D" w:rsidRPr="0070090D">
        <w:rPr>
          <w:rFonts w:eastAsia="MS PGothic"/>
          <w:b/>
          <w:color w:val="000000"/>
        </w:rPr>
        <w:t>T_proc,2,i</w:t>
      </w:r>
      <w:r w:rsidR="007056B8" w:rsidRPr="007056B8">
        <w:rPr>
          <w:b/>
        </w:rPr>
        <w:t xml:space="preserve"> means </w:t>
      </w:r>
      <w:r w:rsidR="0070090D" w:rsidRPr="0070090D">
        <w:rPr>
          <w:rFonts w:eastAsia="MS PGothic"/>
          <w:b/>
          <w:color w:val="000000"/>
        </w:rPr>
        <w:t>T_proc,2</w:t>
      </w:r>
      <w:r w:rsidR="007056B8" w:rsidRPr="007056B8">
        <w:rPr>
          <w:b/>
        </w:rPr>
        <w:t xml:space="preserve"> of the i-th carrier</w:t>
      </w:r>
      <w:r w:rsidR="00442E22">
        <w:rPr>
          <w:b/>
        </w:rPr>
        <w:t xml:space="preserve"> </w:t>
      </w:r>
      <w:r w:rsidR="00442E22" w:rsidRPr="00D603AB">
        <w:rPr>
          <w:bCs/>
        </w:rPr>
        <w:t>or larger</w:t>
      </w:r>
      <w:r w:rsidR="00442E22">
        <w:rPr>
          <w:b/>
          <w:bCs/>
        </w:rPr>
        <w:t xml:space="preserve"> </w:t>
      </w:r>
      <w:r w:rsidR="00442E22">
        <w:rPr>
          <w:bCs/>
        </w:rPr>
        <w:t xml:space="preserve">and </w:t>
      </w:r>
      <w:r w:rsidR="00442E22" w:rsidRPr="00442E22">
        <w:rPr>
          <w:bCs/>
          <w:u w:val="single"/>
        </w:rPr>
        <w:t xml:space="preserve">apply the </w:t>
      </w:r>
      <w:r w:rsidR="00442E22" w:rsidRPr="00442E22">
        <w:rPr>
          <w:u w:val="single"/>
        </w:rPr>
        <w:t>same Toffset for all carriers</w:t>
      </w:r>
      <w:r w:rsidR="00442E22" w:rsidRPr="007056B8">
        <w:t xml:space="preserve"> </w:t>
      </w:r>
      <w:r w:rsidR="007056B8" w:rsidRPr="007056B8">
        <w:t xml:space="preserve">is a good choice. </w:t>
      </w:r>
      <w:r w:rsidR="007056B8">
        <w:t>We hence have the following proposal:</w:t>
      </w:r>
    </w:p>
    <w:p w:rsidR="007056B8" w:rsidRPr="007056B8" w:rsidRDefault="007056B8" w:rsidP="00D569AD">
      <w:pPr>
        <w:jc w:val="both"/>
      </w:pPr>
    </w:p>
    <w:p w:rsidR="007056B8" w:rsidRPr="007056B8" w:rsidRDefault="00AE521C" w:rsidP="007056B8">
      <w:pPr>
        <w:jc w:val="both"/>
        <w:rPr>
          <w:b/>
          <w:u w:val="single"/>
        </w:rPr>
      </w:pPr>
      <w:r>
        <w:rPr>
          <w:b/>
          <w:u w:val="single"/>
        </w:rPr>
        <w:t>Proposal 2</w:t>
      </w:r>
      <w:r w:rsidR="007056B8" w:rsidRPr="007056B8">
        <w:rPr>
          <w:b/>
          <w:u w:val="single"/>
        </w:rPr>
        <w:t>: For CGs of dif</w:t>
      </w:r>
      <w:r w:rsidR="00442E22">
        <w:rPr>
          <w:b/>
          <w:u w:val="single"/>
        </w:rPr>
        <w:t xml:space="preserve">ferent SCS in the same FR, let </w:t>
      </w:r>
      <w:r w:rsidR="00442E22" w:rsidRPr="00442E22">
        <w:rPr>
          <w:b/>
          <w:bCs/>
          <w:u w:val="single"/>
        </w:rPr>
        <w:t xml:space="preserve">Toffset </w:t>
      </w:r>
      <w:r w:rsidR="00442E22" w:rsidRPr="00442E22">
        <w:rPr>
          <w:b/>
          <w:u w:val="single"/>
        </w:rPr>
        <w:t>= max</w:t>
      </w:r>
      <w:r w:rsidR="00442E22" w:rsidRPr="00442E22">
        <w:rPr>
          <w:b/>
          <w:u w:val="single"/>
          <w:vertAlign w:val="subscript"/>
        </w:rPr>
        <w:t>i</w:t>
      </w:r>
      <w:r w:rsidR="00442E22" w:rsidRPr="00442E22">
        <w:rPr>
          <w:b/>
          <w:u w:val="single"/>
        </w:rPr>
        <w:t>{</w:t>
      </w:r>
      <w:r w:rsidR="00442E22" w:rsidRPr="00442E22">
        <w:rPr>
          <w:rFonts w:eastAsia="MS PGothic"/>
          <w:b/>
          <w:color w:val="000000"/>
          <w:u w:val="single"/>
        </w:rPr>
        <w:t>T_proc,2,i</w:t>
      </w:r>
      <w:r w:rsidR="00442E22" w:rsidRPr="00442E22">
        <w:rPr>
          <w:b/>
          <w:u w:val="single"/>
        </w:rPr>
        <w:t xml:space="preserve">}, where </w:t>
      </w:r>
      <w:r w:rsidR="00442E22" w:rsidRPr="00442E22">
        <w:rPr>
          <w:rFonts w:eastAsia="MS PGothic"/>
          <w:b/>
          <w:color w:val="000000"/>
          <w:u w:val="single"/>
        </w:rPr>
        <w:t>T_proc,2,i</w:t>
      </w:r>
      <w:r w:rsidR="00442E22" w:rsidRPr="00442E22">
        <w:rPr>
          <w:b/>
          <w:u w:val="single"/>
        </w:rPr>
        <w:t xml:space="preserve"> means </w:t>
      </w:r>
      <w:r w:rsidR="00442E22" w:rsidRPr="00442E22">
        <w:rPr>
          <w:rFonts w:eastAsia="MS PGothic"/>
          <w:b/>
          <w:color w:val="000000"/>
          <w:u w:val="single"/>
        </w:rPr>
        <w:t>T_proc,2</w:t>
      </w:r>
      <w:r w:rsidR="00442E22" w:rsidRPr="00442E22">
        <w:rPr>
          <w:b/>
          <w:u w:val="single"/>
        </w:rPr>
        <w:t xml:space="preserve"> of the i-th carrier</w:t>
      </w:r>
      <w:r w:rsidR="00442E22">
        <w:rPr>
          <w:b/>
          <w:u w:val="single"/>
        </w:rPr>
        <w:t>, or larger</w:t>
      </w:r>
      <w:r w:rsidR="00B55A00">
        <w:rPr>
          <w:b/>
          <w:u w:val="single"/>
        </w:rPr>
        <w:t>, and apply the same Toffset for all carriers, for the look-ahead operation of dynamic power sharing</w:t>
      </w:r>
      <w:r w:rsidR="007056B8" w:rsidRPr="007056B8">
        <w:rPr>
          <w:b/>
          <w:bCs/>
          <w:u w:val="single"/>
        </w:rPr>
        <w:t>.</w:t>
      </w:r>
    </w:p>
    <w:p w:rsidR="004C537E" w:rsidRDefault="004C537E" w:rsidP="00D569AD">
      <w:pPr>
        <w:jc w:val="both"/>
      </w:pPr>
    </w:p>
    <w:p w:rsidR="00160A29" w:rsidRDefault="007A31D2" w:rsidP="00D569AD">
      <w:pPr>
        <w:jc w:val="both"/>
      </w:pPr>
      <w:r>
        <w:t xml:space="preserve">Besides, for now, it is not clear </w:t>
      </w:r>
      <w:r w:rsidR="00160A29">
        <w:t xml:space="preserve">what is the corresponding UE behavior </w:t>
      </w:r>
      <w:r>
        <w:t>of</w:t>
      </w:r>
      <w:r w:rsidR="00160A29">
        <w:t xml:space="preserve"> </w:t>
      </w:r>
      <w:r>
        <w:t>dynamic power sharing without “look-ahead” operation for NN DC UL power control. From our perspective, there are two possible options:</w:t>
      </w:r>
    </w:p>
    <w:p w:rsidR="007A31D2" w:rsidRDefault="007A31D2" w:rsidP="007A31D2">
      <w:pPr>
        <w:pStyle w:val="a4"/>
        <w:numPr>
          <w:ilvl w:val="0"/>
          <w:numId w:val="29"/>
        </w:numPr>
        <w:jc w:val="both"/>
      </w:pPr>
      <w:r>
        <w:lastRenderedPageBreak/>
        <w:t xml:space="preserve">Option 1: </w:t>
      </w:r>
      <w:r w:rsidR="00CF3305">
        <w:t>For each CG, UE determines the transmission power of one UL transmission according to the CG power prioritization at the same time when UE received the corresponding scheduling DCI.</w:t>
      </w:r>
    </w:p>
    <w:p w:rsidR="007A31D2" w:rsidRDefault="007A31D2" w:rsidP="007A31D2">
      <w:pPr>
        <w:pStyle w:val="a4"/>
        <w:numPr>
          <w:ilvl w:val="0"/>
          <w:numId w:val="29"/>
        </w:numPr>
        <w:jc w:val="both"/>
      </w:pPr>
      <w:r>
        <w:t>Option 2:</w:t>
      </w:r>
      <w:r w:rsidR="00CF3305">
        <w:t xml:space="preserve"> For each CG, UE determines the transmission power of one UL transmission according to the CG power prioritization </w:t>
      </w:r>
      <w:r w:rsidR="00CF3305" w:rsidRPr="00CF3305">
        <w:t>in every symbol of transmission occasion</w:t>
      </w:r>
      <w:r w:rsidR="00CF3305">
        <w:t xml:space="preserve"> </w:t>
      </w:r>
      <w:r w:rsidR="00CF3305" w:rsidRPr="00CF3305">
        <w:rPr>
          <w:i/>
        </w:rPr>
        <w:t>i</w:t>
      </w:r>
      <w:r w:rsidR="00CF3305" w:rsidRPr="00CF3305">
        <w:t>. When determining a total transmit power for serving cells in a frequency range in a symbol of transmission occasion</w:t>
      </w:r>
      <w:r w:rsidR="00CF3305">
        <w:t xml:space="preserve"> </w:t>
      </w:r>
      <w:r w:rsidR="00CF3305" w:rsidRPr="00CF3305">
        <w:rPr>
          <w:i/>
        </w:rPr>
        <w:t>i</w:t>
      </w:r>
      <w:r w:rsidR="00CF3305" w:rsidRPr="00CF3305">
        <w:t>, the UE does not include power for transmissions starting after the symbol of transmission occasion</w:t>
      </w:r>
      <w:r w:rsidR="00CF3305">
        <w:t xml:space="preserve"> </w:t>
      </w:r>
      <w:r w:rsidR="00CF3305" w:rsidRPr="00CF3305">
        <w:rPr>
          <w:i/>
        </w:rPr>
        <w:t>i</w:t>
      </w:r>
      <w:r w:rsidR="00CF3305" w:rsidRPr="00CF3305">
        <w:t>.</w:t>
      </w:r>
      <w:r w:rsidR="00CF3305">
        <w:t xml:space="preserve"> </w:t>
      </w:r>
      <w:r w:rsidR="0034265E">
        <w:rPr>
          <w:iCs/>
        </w:rPr>
        <w:t xml:space="preserve">A </w:t>
      </w:r>
      <w:r w:rsidR="0034265E" w:rsidRPr="0034265E">
        <w:rPr>
          <w:iCs/>
        </w:rPr>
        <w:t xml:space="preserve">transmission occasion </w:t>
      </w:r>
      <w:r w:rsidR="0034265E" w:rsidRPr="0034265E">
        <w:rPr>
          <w:i/>
          <w:iCs/>
        </w:rPr>
        <w:t>i</w:t>
      </w:r>
      <w:r w:rsidR="0034265E">
        <w:rPr>
          <w:iCs/>
        </w:rPr>
        <w:t xml:space="preserve"> is </w:t>
      </w:r>
      <w:r w:rsidR="0034265E" w:rsidRPr="0034265E">
        <w:rPr>
          <w:iCs/>
        </w:rPr>
        <w:t>defined by a slot index</w:t>
      </w:r>
      <w:r w:rsidR="0034265E" w:rsidRPr="00B916EC">
        <w:t xml:space="preserve"> </w:t>
      </w:r>
      <w:r w:rsidR="0034265E" w:rsidRPr="006F0AF7">
        <w:rPr>
          <w:position w:val="-12"/>
        </w:rPr>
        <w:object w:dxaOrig="320" w:dyaOrig="360">
          <v:shape id="_x0000_i1026" type="#_x0000_t75" style="width:16.75pt;height:21.75pt" o:ole="">
            <v:imagedata r:id="rId14" o:title=""/>
          </v:shape>
          <o:OLEObject Type="Embed" ProgID="Equation.3" ShapeID="_x0000_i1026" DrawAspect="Content" ObjectID="_1643212460" r:id="rId15"/>
        </w:object>
      </w:r>
      <w:r w:rsidR="0034265E">
        <w:t xml:space="preserve"> within a frame with system frame number</w:t>
      </w:r>
      <w:r w:rsidR="0034265E">
        <w:rPr>
          <w:iCs/>
        </w:rPr>
        <w:t xml:space="preserve"> </w:t>
      </w:r>
      <w:r w:rsidR="0034265E" w:rsidRPr="0034265E">
        <w:rPr>
          <w:i/>
          <w:iCs/>
        </w:rPr>
        <w:t>SFN</w:t>
      </w:r>
      <w:r w:rsidR="0034265E">
        <w:t xml:space="preserve">, a first symbol </w:t>
      </w:r>
      <w:r w:rsidR="0034265E" w:rsidRPr="006F0AF7">
        <w:rPr>
          <w:iCs/>
          <w:position w:val="-6"/>
        </w:rPr>
        <w:object w:dxaOrig="200" w:dyaOrig="240">
          <v:shape id="_x0000_i1027" type="#_x0000_t75" style="width:10pt;height:12.5pt" o:ole="">
            <v:imagedata r:id="rId16" o:title=""/>
          </v:shape>
          <o:OLEObject Type="Embed" ProgID="Equation.3" ShapeID="_x0000_i1027" DrawAspect="Content" ObjectID="_1643212461" r:id="rId17"/>
        </w:object>
      </w:r>
      <w:r w:rsidR="0034265E">
        <w:t xml:space="preserve"> within the slot, and a number of consecutive symbols </w:t>
      </w:r>
      <w:r w:rsidR="0034265E" w:rsidRPr="006F0AF7">
        <w:rPr>
          <w:iCs/>
          <w:position w:val="-4"/>
        </w:rPr>
        <w:object w:dxaOrig="200" w:dyaOrig="220">
          <v:shape id="_x0000_i1028" type="#_x0000_t75" style="width:8.2pt;height:12.5pt" o:ole="">
            <v:imagedata r:id="rId18" o:title=""/>
          </v:shape>
          <o:OLEObject Type="Embed" ProgID="Equation.3" ShapeID="_x0000_i1028" DrawAspect="Content" ObjectID="_1643212462" r:id="rId19"/>
        </w:object>
      </w:r>
      <w:r w:rsidR="0034265E">
        <w:rPr>
          <w:iCs/>
        </w:rPr>
        <w:t>. (Reusing the power control scheme of CA).</w:t>
      </w:r>
    </w:p>
    <w:p w:rsidR="007A31D2" w:rsidRDefault="007A31D2" w:rsidP="00D569AD">
      <w:pPr>
        <w:jc w:val="both"/>
      </w:pPr>
    </w:p>
    <w:p w:rsidR="00160A29" w:rsidRDefault="00160A29" w:rsidP="00D569AD">
      <w:pPr>
        <w:jc w:val="both"/>
        <w:rPr>
          <w:b/>
          <w:iCs/>
        </w:rPr>
      </w:pPr>
    </w:p>
    <w:p w:rsidR="0034265E" w:rsidRDefault="0034265E" w:rsidP="00D569AD">
      <w:pPr>
        <w:jc w:val="both"/>
        <w:rPr>
          <w:b/>
          <w:u w:val="single"/>
        </w:rPr>
      </w:pPr>
      <w:r>
        <w:rPr>
          <w:b/>
          <w:u w:val="single"/>
        </w:rPr>
        <w:t>Proposal 3</w:t>
      </w:r>
      <w:r w:rsidRPr="007056B8">
        <w:rPr>
          <w:b/>
          <w:u w:val="single"/>
        </w:rPr>
        <w:t>:</w:t>
      </w:r>
      <w:r>
        <w:rPr>
          <w:b/>
          <w:u w:val="single"/>
        </w:rPr>
        <w:t xml:space="preserve"> Clarify </w:t>
      </w:r>
      <w:r w:rsidRPr="0034265E">
        <w:rPr>
          <w:b/>
          <w:u w:val="single"/>
        </w:rPr>
        <w:t>the corresponding UE behavior of dynamic power sharing without “look-ahead” operation for NN DC UL power control</w:t>
      </w:r>
      <w:r w:rsidR="00453991">
        <w:rPr>
          <w:b/>
          <w:u w:val="single"/>
        </w:rPr>
        <w:t xml:space="preserve"> between</w:t>
      </w:r>
      <w:r>
        <w:rPr>
          <w:b/>
          <w:u w:val="single"/>
        </w:rPr>
        <w:t xml:space="preserve"> the two following options:</w:t>
      </w:r>
    </w:p>
    <w:p w:rsidR="0034265E" w:rsidRPr="0034265E" w:rsidRDefault="0034265E" w:rsidP="0034265E">
      <w:pPr>
        <w:pStyle w:val="a4"/>
        <w:numPr>
          <w:ilvl w:val="0"/>
          <w:numId w:val="29"/>
        </w:numPr>
        <w:jc w:val="both"/>
        <w:rPr>
          <w:b/>
          <w:u w:val="single"/>
        </w:rPr>
      </w:pPr>
      <w:r w:rsidRPr="0034265E">
        <w:rPr>
          <w:b/>
          <w:u w:val="single"/>
        </w:rPr>
        <w:t>Option 1: For each CG, UE determines the transmission power of one UL transmission according to the CG power prioritization at the same time when UE received the corresponding scheduling DCI.</w:t>
      </w:r>
    </w:p>
    <w:p w:rsidR="0034265E" w:rsidRPr="0034265E" w:rsidRDefault="0034265E" w:rsidP="0034265E">
      <w:pPr>
        <w:pStyle w:val="a4"/>
        <w:numPr>
          <w:ilvl w:val="0"/>
          <w:numId w:val="29"/>
        </w:numPr>
        <w:jc w:val="both"/>
        <w:rPr>
          <w:b/>
          <w:u w:val="single"/>
        </w:rPr>
      </w:pPr>
      <w:r w:rsidRPr="0034265E">
        <w:rPr>
          <w:b/>
          <w:u w:val="single"/>
        </w:rPr>
        <w:t xml:space="preserve">Option 2: For each CG, UE determines the transmission power of one UL transmission according to the CG power prioritization in every symbol of transmission occasion </w:t>
      </w:r>
      <w:r w:rsidRPr="0034265E">
        <w:rPr>
          <w:b/>
          <w:i/>
          <w:u w:val="single"/>
        </w:rPr>
        <w:t>i</w:t>
      </w:r>
      <w:r w:rsidRPr="0034265E">
        <w:rPr>
          <w:b/>
          <w:u w:val="single"/>
        </w:rPr>
        <w:t xml:space="preserve">. When determining a total transmit power for serving cells in a frequency range in a symbol of transmission occasion </w:t>
      </w:r>
      <w:r w:rsidRPr="0034265E">
        <w:rPr>
          <w:b/>
          <w:i/>
          <w:u w:val="single"/>
        </w:rPr>
        <w:t>i</w:t>
      </w:r>
      <w:r w:rsidRPr="0034265E">
        <w:rPr>
          <w:b/>
          <w:u w:val="single"/>
        </w:rPr>
        <w:t xml:space="preserve">, the UE does not include power for transmissions starting after the symbol of transmission occasion </w:t>
      </w:r>
      <w:r w:rsidRPr="0034265E">
        <w:rPr>
          <w:b/>
          <w:i/>
          <w:u w:val="single"/>
        </w:rPr>
        <w:t>i</w:t>
      </w:r>
      <w:r w:rsidRPr="0034265E">
        <w:rPr>
          <w:b/>
          <w:u w:val="single"/>
        </w:rPr>
        <w:t xml:space="preserve">. </w:t>
      </w:r>
      <w:r w:rsidRPr="0034265E">
        <w:rPr>
          <w:b/>
          <w:iCs/>
          <w:u w:val="single"/>
        </w:rPr>
        <w:t xml:space="preserve">A transmission occasion </w:t>
      </w:r>
      <w:r w:rsidRPr="0034265E">
        <w:rPr>
          <w:b/>
          <w:i/>
          <w:iCs/>
          <w:u w:val="single"/>
        </w:rPr>
        <w:t>i</w:t>
      </w:r>
      <w:r w:rsidRPr="0034265E">
        <w:rPr>
          <w:b/>
          <w:iCs/>
          <w:u w:val="single"/>
        </w:rPr>
        <w:t xml:space="preserve"> is defined by a slot index</w:t>
      </w:r>
      <w:r w:rsidRPr="0034265E">
        <w:rPr>
          <w:b/>
          <w:u w:val="single"/>
        </w:rPr>
        <w:t xml:space="preserve"> </w:t>
      </w:r>
      <w:r w:rsidRPr="0034265E">
        <w:rPr>
          <w:b/>
          <w:position w:val="-12"/>
          <w:u w:val="single"/>
        </w:rPr>
        <w:object w:dxaOrig="320" w:dyaOrig="360">
          <v:shape id="_x0000_i1029" type="#_x0000_t75" style="width:16.75pt;height:21.75pt" o:ole="">
            <v:imagedata r:id="rId14" o:title=""/>
          </v:shape>
          <o:OLEObject Type="Embed" ProgID="Equation.3" ShapeID="_x0000_i1029" DrawAspect="Content" ObjectID="_1643212463" r:id="rId20"/>
        </w:object>
      </w:r>
      <w:r w:rsidRPr="0034265E">
        <w:rPr>
          <w:b/>
          <w:u w:val="single"/>
        </w:rPr>
        <w:t xml:space="preserve"> within a frame with system frame number</w:t>
      </w:r>
      <w:r w:rsidRPr="0034265E">
        <w:rPr>
          <w:b/>
          <w:iCs/>
          <w:u w:val="single"/>
        </w:rPr>
        <w:t xml:space="preserve"> </w:t>
      </w:r>
      <w:r w:rsidRPr="0034265E">
        <w:rPr>
          <w:b/>
          <w:i/>
          <w:iCs/>
          <w:u w:val="single"/>
        </w:rPr>
        <w:t>SFN</w:t>
      </w:r>
      <w:r w:rsidRPr="0034265E">
        <w:rPr>
          <w:b/>
          <w:u w:val="single"/>
        </w:rPr>
        <w:t xml:space="preserve">, a first symbol </w:t>
      </w:r>
      <w:r w:rsidRPr="0034265E">
        <w:rPr>
          <w:b/>
          <w:iCs/>
          <w:position w:val="-6"/>
          <w:u w:val="single"/>
        </w:rPr>
        <w:object w:dxaOrig="200" w:dyaOrig="240">
          <v:shape id="_x0000_i1030" type="#_x0000_t75" style="width:10pt;height:12.5pt" o:ole="">
            <v:imagedata r:id="rId16" o:title=""/>
          </v:shape>
          <o:OLEObject Type="Embed" ProgID="Equation.3" ShapeID="_x0000_i1030" DrawAspect="Content" ObjectID="_1643212464" r:id="rId21"/>
        </w:object>
      </w:r>
      <w:r w:rsidRPr="0034265E">
        <w:rPr>
          <w:b/>
          <w:u w:val="single"/>
        </w:rPr>
        <w:t xml:space="preserve"> within the slot, and a number of consecutive symbols </w:t>
      </w:r>
      <w:r w:rsidRPr="0034265E">
        <w:rPr>
          <w:b/>
          <w:iCs/>
          <w:position w:val="-4"/>
          <w:u w:val="single"/>
        </w:rPr>
        <w:object w:dxaOrig="200" w:dyaOrig="220">
          <v:shape id="_x0000_i1031" type="#_x0000_t75" style="width:8.2pt;height:12.5pt" o:ole="">
            <v:imagedata r:id="rId18" o:title=""/>
          </v:shape>
          <o:OLEObject Type="Embed" ProgID="Equation.3" ShapeID="_x0000_i1031" DrawAspect="Content" ObjectID="_1643212465" r:id="rId22"/>
        </w:object>
      </w:r>
      <w:r w:rsidRPr="0034265E">
        <w:rPr>
          <w:b/>
          <w:iCs/>
          <w:u w:val="single"/>
        </w:rPr>
        <w:t>. (Reusing the power control scheme of CA).</w:t>
      </w:r>
    </w:p>
    <w:p w:rsidR="0034265E" w:rsidRPr="0034265E" w:rsidRDefault="0034265E" w:rsidP="00D569AD">
      <w:pPr>
        <w:jc w:val="both"/>
        <w:rPr>
          <w:b/>
          <w:u w:val="single"/>
        </w:rPr>
      </w:pPr>
    </w:p>
    <w:p w:rsidR="00E22206" w:rsidRDefault="00E22206" w:rsidP="00E22206">
      <w:pPr>
        <w:rPr>
          <w:lang w:val="en-GB" w:eastAsia="en-US"/>
        </w:rPr>
      </w:pPr>
    </w:p>
    <w:p w:rsidR="009C3324" w:rsidRDefault="009C3324" w:rsidP="009C3324">
      <w:pPr>
        <w:jc w:val="both"/>
        <w:rPr>
          <w:szCs w:val="22"/>
        </w:rPr>
      </w:pPr>
      <w:r>
        <w:rPr>
          <w:rFonts w:ascii="Arial" w:eastAsia="MS Mincho" w:hAnsi="Arial" w:cs="Arial"/>
          <w:b/>
          <w:sz w:val="28"/>
          <w:szCs w:val="28"/>
          <w:u w:val="single"/>
          <w:lang w:val="en-GB"/>
        </w:rPr>
        <w:t>2.3</w:t>
      </w:r>
      <w:r w:rsidRPr="00F116B8">
        <w:rPr>
          <w:rFonts w:ascii="Arial" w:eastAsia="MS Mincho" w:hAnsi="Arial" w:cs="Arial"/>
          <w:b/>
          <w:sz w:val="28"/>
          <w:szCs w:val="28"/>
          <w:u w:val="single"/>
          <w:lang w:val="en-GB"/>
        </w:rPr>
        <w:t xml:space="preserve"> </w:t>
      </w:r>
      <w:r>
        <w:rPr>
          <w:rFonts w:ascii="Arial" w:eastAsia="MS Mincho" w:hAnsi="Arial" w:cs="Arial"/>
          <w:b/>
          <w:bCs/>
          <w:sz w:val="28"/>
          <w:szCs w:val="28"/>
          <w:u w:val="single"/>
        </w:rPr>
        <w:t>UE features</w:t>
      </w:r>
    </w:p>
    <w:p w:rsidR="006D52A1" w:rsidRDefault="006D52A1" w:rsidP="00E22206">
      <w:pPr>
        <w:rPr>
          <w:lang w:val="en-GB" w:eastAsia="en-US"/>
        </w:rPr>
      </w:pPr>
    </w:p>
    <w:p w:rsidR="009C3324" w:rsidRDefault="009C3324" w:rsidP="00E22206">
      <w:pPr>
        <w:rPr>
          <w:lang w:val="en-GB" w:eastAsia="en-US"/>
        </w:rPr>
      </w:pPr>
      <w:r w:rsidRPr="009C3324">
        <w:rPr>
          <w:noProof/>
        </w:rPr>
        <mc:AlternateContent>
          <mc:Choice Requires="wps">
            <w:drawing>
              <wp:anchor distT="45720" distB="45720" distL="114300" distR="114300" simplePos="0" relativeHeight="251661312" behindDoc="0" locked="0" layoutInCell="1" allowOverlap="1">
                <wp:simplePos x="0" y="0"/>
                <wp:positionH relativeFrom="margin">
                  <wp:align>left</wp:align>
                </wp:positionH>
                <wp:positionV relativeFrom="paragraph">
                  <wp:posOffset>264160</wp:posOffset>
                </wp:positionV>
                <wp:extent cx="6662420" cy="1033145"/>
                <wp:effectExtent l="0" t="0" r="24130"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2420" cy="1033145"/>
                        </a:xfrm>
                        <a:prstGeom prst="rect">
                          <a:avLst/>
                        </a:prstGeom>
                        <a:solidFill>
                          <a:srgbClr val="FFFFFF"/>
                        </a:solidFill>
                        <a:ln w="9525">
                          <a:solidFill>
                            <a:srgbClr val="000000"/>
                          </a:solidFill>
                          <a:miter lim="800000"/>
                          <a:headEnd/>
                          <a:tailEnd/>
                        </a:ln>
                      </wps:spPr>
                      <wps:txbx>
                        <w:txbxContent>
                          <w:p w:rsidR="009C3324" w:rsidRPr="0024211E" w:rsidRDefault="009C3324" w:rsidP="009C3324">
                            <w:pPr>
                              <w:spacing w:after="120"/>
                              <w:ind w:firstLine="360"/>
                              <w:jc w:val="both"/>
                              <w:rPr>
                                <w:rFonts w:eastAsia="Malgun Gothic" w:cs="Batang"/>
                                <w:sz w:val="22"/>
                                <w:szCs w:val="22"/>
                                <w:lang w:eastAsia="en-US"/>
                              </w:rPr>
                            </w:pPr>
                            <w:r>
                              <w:rPr>
                                <w:rFonts w:eastAsia="Malgun Gothic" w:cs="Batang"/>
                                <w:sz w:val="22"/>
                                <w:szCs w:val="22"/>
                                <w:lang w:eastAsia="en-US"/>
                              </w:rPr>
                              <w:t>This is a document for email discussion/approval for Rel-16 NR UE features according to following chairman’s note at RAN1 #99 meeting. The updated Rel-16 NR UE features are provided by rapporteurs for each Rel-16 NR WI based on R1-1911751 which is an outcome of the first round of discussion on Rel-16 NR UE features after RAN1 #98bis meeting</w:t>
                            </w:r>
                            <w:r w:rsidRPr="00E34C18">
                              <w:rPr>
                                <w:rFonts w:eastAsia="Malgun Gothic" w:cs="Batang"/>
                                <w:sz w:val="22"/>
                                <w:szCs w:val="22"/>
                                <w:lang w:eastAsia="en-US"/>
                              </w:rPr>
                              <w:t xml:space="preserve">. </w:t>
                            </w:r>
                            <w:r>
                              <w:rPr>
                                <w:rFonts w:eastAsia="Malgun Gothic" w:cs="Batang"/>
                                <w:sz w:val="22"/>
                                <w:szCs w:val="22"/>
                                <w:lang w:eastAsia="en-US"/>
                              </w:rPr>
                              <w:t>Companies are encouraged to check the updates and to provide feedbacks if any.</w:t>
                            </w:r>
                          </w:p>
                          <w:tbl>
                            <w:tblPr>
                              <w:tblStyle w:val="a3"/>
                              <w:tblW w:w="0" w:type="auto"/>
                              <w:tblLook w:val="04A0" w:firstRow="1" w:lastRow="0" w:firstColumn="1" w:lastColumn="0" w:noHBand="0" w:noVBand="1"/>
                            </w:tblPr>
                            <w:tblGrid>
                              <w:gridCol w:w="9628"/>
                            </w:tblGrid>
                            <w:tr w:rsidR="009C3324" w:rsidTr="00C45B05">
                              <w:tc>
                                <w:tcPr>
                                  <w:tcW w:w="9628" w:type="dxa"/>
                                </w:tcPr>
                                <w:p w:rsidR="009C3324" w:rsidRPr="005F37C3" w:rsidRDefault="009C3324" w:rsidP="009C3324">
                                  <w:pPr>
                                    <w:rPr>
                                      <w:rFonts w:ascii="Times" w:eastAsia="Batang" w:hAnsi="Times"/>
                                      <w:sz w:val="20"/>
                                      <w:highlight w:val="cyan"/>
                                      <w:lang w:eastAsia="x-none"/>
                                    </w:rPr>
                                  </w:pPr>
                                  <w:r w:rsidRPr="005F37C3">
                                    <w:rPr>
                                      <w:rFonts w:ascii="Times" w:eastAsia="Batang" w:hAnsi="Times"/>
                                      <w:sz w:val="20"/>
                                      <w:highlight w:val="cyan"/>
                                      <w:lang w:eastAsia="x-none"/>
                                    </w:rPr>
                                    <w:t>Email discussion/approval for Rel-16 NR UE features till next meeting – Hiroki/Xiaoyi</w:t>
                                  </w:r>
                                </w:p>
                              </w:tc>
                            </w:tr>
                          </w:tbl>
                          <w:p w:rsidR="009C3324" w:rsidRDefault="009C3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0;margin-top:20.8pt;width:524.6pt;height:81.3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">
                <v:textbox>
                  <w:txbxContent>
                    <w:p w:rsidR="009C3324" w:rsidRPr="0024211E" w:rsidRDefault="009C3324" w:rsidP="009C3324">
                      <w:pPr>
                        <w:spacing w:after="120"/>
                        <w:ind w:firstLine="360"/>
                        <w:jc w:val="both"/>
                        <w:rPr>
                          <w:rFonts w:eastAsia="Malgun Gothic" w:cs="Batang"/>
                          <w:sz w:val="22"/>
                          <w:szCs w:val="22"/>
                          <w:lang w:eastAsia="en-US"/>
                        </w:rPr>
                      </w:pPr>
                      <w:r>
                        <w:rPr>
                          <w:rFonts w:eastAsia="Malgun Gothic" w:cs="Batang"/>
                          <w:sz w:val="22"/>
                          <w:szCs w:val="22"/>
                          <w:lang w:eastAsia="en-US"/>
                        </w:rPr>
                        <w:t>This is a document for email discussion/approval for Rel-16 NR UE features according to following chairman’s note at RAN1 #99 meeting. The updated Rel-16 NR UE features are provided by rapporteurs for each Rel-16 NR WI based on R1-1911751 which is an outcome of the first round of discussion on Rel-16 NR UE features after RAN1 #98bis meeting</w:t>
                      </w:r>
                      <w:r w:rsidRPr="00E34C18">
                        <w:rPr>
                          <w:rFonts w:eastAsia="Malgun Gothic" w:cs="Batang"/>
                          <w:sz w:val="22"/>
                          <w:szCs w:val="22"/>
                          <w:lang w:eastAsia="en-US"/>
                        </w:rPr>
                        <w:t xml:space="preserve">. </w:t>
                      </w:r>
                      <w:r>
                        <w:rPr>
                          <w:rFonts w:eastAsia="Malgun Gothic" w:cs="Batang"/>
                          <w:sz w:val="22"/>
                          <w:szCs w:val="22"/>
                          <w:lang w:eastAsia="en-US"/>
                        </w:rPr>
                        <w:t>Companies are encouraged to check the updates and to provide feedbacks if any.</w:t>
                      </w:r>
                    </w:p>
                    <w:tbl>
                      <w:tblPr>
                        <w:tblStyle w:val="a3"/>
                        <w:tblW w:w="0" w:type="auto"/>
                        <w:tblLook w:val="04A0" w:firstRow="1" w:lastRow="0" w:firstColumn="1" w:lastColumn="0" w:noHBand="0" w:noVBand="1"/>
                      </w:tblPr>
                      <w:tblGrid>
                        <w:gridCol w:w="9628"/>
                      </w:tblGrid>
                      <w:tr w:rsidR="009C3324" w:rsidTr="00C45B05">
                        <w:tc>
                          <w:tcPr>
                            <w:tcW w:w="9628" w:type="dxa"/>
                          </w:tcPr>
                          <w:p w:rsidR="009C3324" w:rsidRPr="005F37C3" w:rsidRDefault="009C3324" w:rsidP="009C3324">
                            <w:pPr>
                              <w:rPr>
                                <w:rFonts w:ascii="Times" w:eastAsia="Batang" w:hAnsi="Times"/>
                                <w:sz w:val="20"/>
                                <w:highlight w:val="cyan"/>
                                <w:lang w:eastAsia="x-none"/>
                              </w:rPr>
                            </w:pPr>
                            <w:r w:rsidRPr="005F37C3">
                              <w:rPr>
                                <w:rFonts w:ascii="Times" w:eastAsia="Batang" w:hAnsi="Times"/>
                                <w:sz w:val="20"/>
                                <w:highlight w:val="cyan"/>
                                <w:lang w:eastAsia="x-none"/>
                              </w:rPr>
                              <w:t>Email discussion/approval for Rel-16 NR UE features till next meeting – Hiroki/Xiaoyi</w:t>
                            </w:r>
                          </w:p>
                        </w:tc>
                      </w:tr>
                    </w:tbl>
                    <w:p w:rsidR="009C3324" w:rsidRDefault="009C3324"/>
                  </w:txbxContent>
                </v:textbox>
                <w10:wrap type="square" anchorx="margin"/>
              </v:shape>
            </w:pict>
          </mc:Fallback>
        </mc:AlternateContent>
      </w:r>
      <w:r>
        <w:rPr>
          <w:lang w:val="en-GB" w:eastAsia="en-US"/>
        </w:rPr>
        <w:t>There is an ongoing email discussion for Rel-16 UE features:</w:t>
      </w:r>
    </w:p>
    <w:p w:rsidR="00D603AB" w:rsidRDefault="00567E0F" w:rsidP="009C3324">
      <w:pPr>
        <w:spacing w:after="120"/>
        <w:jc w:val="both"/>
        <w:rPr>
          <w:rFonts w:eastAsia="Malgun Gothic" w:cs="Batang"/>
          <w:sz w:val="22"/>
          <w:szCs w:val="22"/>
          <w:lang w:eastAsia="en-US"/>
        </w:rPr>
      </w:pPr>
      <w:r w:rsidRPr="00567E0F">
        <w:rPr>
          <w:rFonts w:eastAsia="Malgun Gothic" w:cs="Batang"/>
          <w:noProof/>
          <w:sz w:val="22"/>
          <w:szCs w:val="22"/>
        </w:rPr>
        <mc:AlternateContent>
          <mc:Choice Requires="wps">
            <w:drawing>
              <wp:anchor distT="45720" distB="45720" distL="114300" distR="114300" simplePos="0" relativeHeight="251663360" behindDoc="0" locked="0" layoutInCell="1" allowOverlap="1">
                <wp:simplePos x="0" y="0"/>
                <wp:positionH relativeFrom="margin">
                  <wp:align>left</wp:align>
                </wp:positionH>
                <wp:positionV relativeFrom="paragraph">
                  <wp:posOffset>1450975</wp:posOffset>
                </wp:positionV>
                <wp:extent cx="6648450" cy="1404620"/>
                <wp:effectExtent l="0" t="0" r="1905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1404620"/>
                        </a:xfrm>
                        <a:prstGeom prst="rect">
                          <a:avLst/>
                        </a:prstGeom>
                        <a:solidFill>
                          <a:srgbClr val="FFFFFF"/>
                        </a:solidFill>
                        <a:ln w="9525">
                          <a:solidFill>
                            <a:srgbClr val="000000"/>
                          </a:solidFill>
                          <a:miter lim="800000"/>
                          <a:headEnd/>
                          <a:tailEnd/>
                        </a:ln>
                      </wps:spPr>
                      <wps:txbx>
                        <w:txbxContent>
                          <w:p w:rsidR="00567E0F" w:rsidRPr="00567E0F" w:rsidRDefault="00567E0F" w:rsidP="00567E0F">
                            <w:pPr>
                              <w:spacing w:after="120"/>
                              <w:jc w:val="both"/>
                              <w:rPr>
                                <w:rFonts w:eastAsia="Malgun Gothic" w:cs="Batang"/>
                                <w:sz w:val="22"/>
                                <w:szCs w:val="22"/>
                                <w:lang w:eastAsia="en-US"/>
                              </w:rPr>
                            </w:pPr>
                            <w:r w:rsidRPr="00567E0F">
                              <w:rPr>
                                <w:rFonts w:eastAsia="Malgun Gothic" w:cs="Batang"/>
                                <w:sz w:val="22"/>
                                <w:szCs w:val="22"/>
                                <w:lang w:eastAsia="en-US"/>
                              </w:rPr>
                              <w:t>Absence means DC not supported. UE supporting DC must indicate support for at least 1 UL power sharing scheme. Indication for support of any combination of the schemes needs to be possible.</w:t>
                            </w:r>
                          </w:p>
                          <w:p w:rsidR="00567E0F" w:rsidRPr="00567E0F" w:rsidRDefault="00567E0F" w:rsidP="00567E0F">
                            <w:pPr>
                              <w:spacing w:after="120"/>
                              <w:jc w:val="both"/>
                              <w:rPr>
                                <w:rFonts w:eastAsia="Malgun Gothic" w:cs="Batang"/>
                                <w:sz w:val="22"/>
                                <w:szCs w:val="22"/>
                                <w:lang w:eastAsia="en-US"/>
                              </w:rPr>
                            </w:pPr>
                            <w:r w:rsidRPr="00567E0F">
                              <w:rPr>
                                <w:rFonts w:eastAsia="Malgun Gothic" w:cs="Batang"/>
                                <w:sz w:val="22"/>
                                <w:szCs w:val="22"/>
                                <w:lang w:eastAsia="en-US"/>
                              </w:rPr>
                              <w:t xml:space="preserve">{semi-static, dynamic without lookahead, dynamic with lookahead}. </w:t>
                            </w:r>
                            <w:r w:rsidRPr="00567E0F">
                              <w:rPr>
                                <w:rFonts w:eastAsia="Malgun Gothic" w:cs="Batang"/>
                                <w:b/>
                                <w:sz w:val="22"/>
                                <w:szCs w:val="22"/>
                                <w:lang w:eastAsia="en-US"/>
                              </w:rPr>
                              <w:t>TBD if semi-static to be split in two modes</w:t>
                            </w:r>
                            <w:r>
                              <w:rPr>
                                <w:rFonts w:eastAsia="Malgun Gothic" w:cs="Batang"/>
                                <w:sz w:val="22"/>
                                <w:szCs w:val="22"/>
                                <w:lang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0;margin-top:114.25pt;width:523.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">
                <v:textbox style="mso-fit-shape-to-text:t">
                  <w:txbxContent>
                    <w:p w:rsidR="00567E0F" w:rsidRPr="00567E0F" w:rsidRDefault="00567E0F" w:rsidP="00567E0F">
                      <w:pPr>
                        <w:spacing w:after="120"/>
                        <w:jc w:val="both"/>
                        <w:rPr>
                          <w:rFonts w:eastAsia="Malgun Gothic" w:cs="Batang"/>
                          <w:sz w:val="22"/>
                          <w:szCs w:val="22"/>
                          <w:lang w:eastAsia="en-US"/>
                        </w:rPr>
                      </w:pPr>
                      <w:r w:rsidRPr="00567E0F">
                        <w:rPr>
                          <w:rFonts w:eastAsia="Malgun Gothic" w:cs="Batang"/>
                          <w:sz w:val="22"/>
                          <w:szCs w:val="22"/>
                          <w:lang w:eastAsia="en-US"/>
                        </w:rPr>
                        <w:t>Absence means DC not supported. UE supporting DC must indicate support for at least 1 UL power sharing scheme. Indication for support of any combination of the schemes needs to be possible.</w:t>
                      </w:r>
                    </w:p>
                    <w:p w:rsidR="00567E0F" w:rsidRPr="00567E0F" w:rsidRDefault="00567E0F" w:rsidP="00567E0F">
                      <w:pPr>
                        <w:spacing w:after="120"/>
                        <w:jc w:val="both"/>
                        <w:rPr>
                          <w:rFonts w:eastAsia="Malgun Gothic" w:cs="Batang"/>
                          <w:sz w:val="22"/>
                          <w:szCs w:val="22"/>
                          <w:lang w:eastAsia="en-US"/>
                        </w:rPr>
                      </w:pPr>
                      <w:r w:rsidRPr="00567E0F">
                        <w:rPr>
                          <w:rFonts w:eastAsia="Malgun Gothic" w:cs="Batang"/>
                          <w:sz w:val="22"/>
                          <w:szCs w:val="22"/>
                          <w:lang w:eastAsia="en-US"/>
                        </w:rPr>
                        <w:t>{</w:t>
                      </w:r>
                      <w:proofErr w:type="gramStart"/>
                      <w:r w:rsidRPr="00567E0F">
                        <w:rPr>
                          <w:rFonts w:eastAsia="Malgun Gothic" w:cs="Batang"/>
                          <w:sz w:val="22"/>
                          <w:szCs w:val="22"/>
                          <w:lang w:eastAsia="en-US"/>
                        </w:rPr>
                        <w:t>semi-static</w:t>
                      </w:r>
                      <w:proofErr w:type="gramEnd"/>
                      <w:r w:rsidRPr="00567E0F">
                        <w:rPr>
                          <w:rFonts w:eastAsia="Malgun Gothic" w:cs="Batang"/>
                          <w:sz w:val="22"/>
                          <w:szCs w:val="22"/>
                          <w:lang w:eastAsia="en-US"/>
                        </w:rPr>
                        <w:t xml:space="preserve">, dynamic without lookahead, dynamic with lookahead}. </w:t>
                      </w:r>
                      <w:r w:rsidRPr="00567E0F">
                        <w:rPr>
                          <w:rFonts w:eastAsia="Malgun Gothic" w:cs="Batang"/>
                          <w:b/>
                          <w:sz w:val="22"/>
                          <w:szCs w:val="22"/>
                          <w:lang w:eastAsia="en-US"/>
                        </w:rPr>
                        <w:t>TBD if semi-static to be split in two modes</w:t>
                      </w:r>
                      <w:r>
                        <w:rPr>
                          <w:rFonts w:eastAsia="Malgun Gothic" w:cs="Batang"/>
                          <w:sz w:val="22"/>
                          <w:szCs w:val="22"/>
                          <w:lang w:eastAsia="en-US"/>
                        </w:rPr>
                        <w:t>.</w:t>
                      </w:r>
                    </w:p>
                  </w:txbxContent>
                </v:textbox>
                <w10:wrap type="square" anchorx="margin"/>
              </v:shape>
            </w:pict>
          </mc:Fallback>
        </mc:AlternateContent>
      </w:r>
      <w:r w:rsidR="009C3324">
        <w:rPr>
          <w:rFonts w:eastAsia="Malgun Gothic" w:cs="Batang"/>
          <w:sz w:val="22"/>
          <w:szCs w:val="22"/>
          <w:lang w:eastAsia="en-US"/>
        </w:rPr>
        <w:t>where the feature “</w:t>
      </w:r>
      <w:r w:rsidR="009C3324" w:rsidRPr="009C3324">
        <w:rPr>
          <w:rFonts w:eastAsia="Malgun Gothic" w:cs="Batang"/>
          <w:sz w:val="22"/>
          <w:szCs w:val="22"/>
          <w:lang w:eastAsia="en-US"/>
        </w:rPr>
        <w:t>UL power sharing for DC</w:t>
      </w:r>
      <w:r w:rsidR="009C3324">
        <w:rPr>
          <w:rFonts w:eastAsia="Malgun Gothic" w:cs="Batang"/>
          <w:sz w:val="22"/>
          <w:szCs w:val="22"/>
          <w:lang w:eastAsia="en-US"/>
        </w:rPr>
        <w:t xml:space="preserve">” </w:t>
      </w:r>
      <w:r>
        <w:rPr>
          <w:rFonts w:eastAsia="Malgun Gothic" w:cs="Batang"/>
          <w:sz w:val="22"/>
          <w:szCs w:val="22"/>
          <w:lang w:eastAsia="en-US"/>
        </w:rPr>
        <w:t>is indexed by 18-1 with the following description:</w:t>
      </w:r>
    </w:p>
    <w:p w:rsidR="00567E0F" w:rsidRDefault="00883A51" w:rsidP="009C3324">
      <w:pPr>
        <w:spacing w:after="120"/>
        <w:jc w:val="both"/>
        <w:rPr>
          <w:rFonts w:eastAsia="Malgun Gothic" w:cs="Batang"/>
          <w:sz w:val="22"/>
          <w:szCs w:val="22"/>
          <w:lang w:eastAsia="zh-TW"/>
        </w:rPr>
      </w:pPr>
      <w:r w:rsidRPr="00567E0F">
        <w:rPr>
          <w:rFonts w:eastAsia="Malgun Gothic" w:cs="Batang"/>
          <w:noProof/>
          <w:sz w:val="22"/>
          <w:szCs w:val="22"/>
        </w:rPr>
        <w:lastRenderedPageBreak/>
        <mc:AlternateContent>
          <mc:Choice Requires="wps">
            <w:drawing>
              <wp:anchor distT="45720" distB="45720" distL="114300" distR="114300" simplePos="0" relativeHeight="251665408" behindDoc="0" locked="0" layoutInCell="1" allowOverlap="1">
                <wp:simplePos x="0" y="0"/>
                <wp:positionH relativeFrom="margin">
                  <wp:posOffset>0</wp:posOffset>
                </wp:positionH>
                <wp:positionV relativeFrom="paragraph">
                  <wp:posOffset>550545</wp:posOffset>
                </wp:positionV>
                <wp:extent cx="6638925" cy="4919345"/>
                <wp:effectExtent l="0" t="0" r="28575" b="146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4919345"/>
                        </a:xfrm>
                        <a:prstGeom prst="rect">
                          <a:avLst/>
                        </a:prstGeom>
                        <a:solidFill>
                          <a:srgbClr val="FFFFFF"/>
                        </a:solidFill>
                        <a:ln w="9525">
                          <a:solidFill>
                            <a:srgbClr val="000000"/>
                          </a:solidFill>
                          <a:miter lim="800000"/>
                          <a:headEnd/>
                          <a:tailEnd/>
                        </a:ln>
                      </wps:spPr>
                      <wps:txbx>
                        <w:txbxContent>
                          <w:p w:rsidR="00567E0F" w:rsidRPr="00567E0F" w:rsidRDefault="00567E0F" w:rsidP="00567E0F">
                            <w:pPr>
                              <w:outlineLvl w:val="4"/>
                              <w:rPr>
                                <w:b/>
                                <w:sz w:val="22"/>
                                <w:szCs w:val="22"/>
                                <w:u w:val="single"/>
                                <w:lang w:eastAsia="ja-JP"/>
                              </w:rPr>
                            </w:pPr>
                            <w:r w:rsidRPr="00567E0F">
                              <w:rPr>
                                <w:b/>
                                <w:sz w:val="22"/>
                                <w:szCs w:val="22"/>
                                <w:u w:val="single"/>
                                <w:lang w:eastAsia="ja-JP"/>
                              </w:rPr>
                              <w:t>RAN1-98 (August 2019)</w:t>
                            </w:r>
                          </w:p>
                          <w:p w:rsidR="00567E0F" w:rsidRPr="00567E0F" w:rsidRDefault="00567E0F" w:rsidP="00567E0F">
                            <w:pPr>
                              <w:rPr>
                                <w:sz w:val="22"/>
                                <w:szCs w:val="22"/>
                                <w:lang w:eastAsia="ja-JP"/>
                              </w:rPr>
                            </w:pPr>
                            <w:r w:rsidRPr="00567E0F">
                              <w:rPr>
                                <w:sz w:val="22"/>
                                <w:szCs w:val="22"/>
                                <w:highlight w:val="green"/>
                                <w:lang w:eastAsia="ja-JP"/>
                              </w:rPr>
                              <w:t>Agreements:</w:t>
                            </w:r>
                          </w:p>
                          <w:p w:rsidR="00567E0F" w:rsidRPr="00567E0F" w:rsidRDefault="00567E0F" w:rsidP="00567E0F">
                            <w:pPr>
                              <w:pStyle w:val="a4"/>
                              <w:widowControl w:val="0"/>
                              <w:numPr>
                                <w:ilvl w:val="1"/>
                                <w:numId w:val="25"/>
                              </w:numPr>
                              <w:contextualSpacing w:val="0"/>
                              <w:jc w:val="both"/>
                              <w:rPr>
                                <w:bCs/>
                                <w:sz w:val="22"/>
                                <w:szCs w:val="22"/>
                              </w:rPr>
                            </w:pPr>
                            <w:r w:rsidRPr="00567E0F">
                              <w:rPr>
                                <w:bCs/>
                                <w:sz w:val="22"/>
                                <w:szCs w:val="22"/>
                              </w:rPr>
                              <w:t xml:space="preserve">Aim to reuse the existing CA power determination for uplink transmissions on CC(s) in a same CG. </w:t>
                            </w:r>
                          </w:p>
                          <w:p w:rsidR="00567E0F" w:rsidRPr="00567E0F" w:rsidRDefault="00567E0F" w:rsidP="00567E0F">
                            <w:pPr>
                              <w:pStyle w:val="a4"/>
                              <w:ind w:left="800"/>
                              <w:rPr>
                                <w:bCs/>
                                <w:sz w:val="22"/>
                                <w:szCs w:val="22"/>
                              </w:rPr>
                            </w:pPr>
                          </w:p>
                          <w:p w:rsidR="00567E0F" w:rsidRPr="00567E0F" w:rsidRDefault="00567E0F" w:rsidP="00567E0F">
                            <w:pPr>
                              <w:rPr>
                                <w:b/>
                                <w:sz w:val="22"/>
                                <w:szCs w:val="22"/>
                                <w:u w:val="single"/>
                                <w:lang w:eastAsia="ja-JP"/>
                              </w:rPr>
                            </w:pPr>
                            <w:r w:rsidRPr="00567E0F">
                              <w:rPr>
                                <w:b/>
                                <w:sz w:val="22"/>
                                <w:szCs w:val="22"/>
                                <w:highlight w:val="green"/>
                                <w:u w:val="single"/>
                                <w:lang w:eastAsia="ja-JP"/>
                              </w:rPr>
                              <w:t>Agreements:</w:t>
                            </w:r>
                            <w:r w:rsidRPr="00567E0F">
                              <w:rPr>
                                <w:b/>
                                <w:sz w:val="22"/>
                                <w:szCs w:val="22"/>
                                <w:u w:val="single"/>
                                <w:lang w:eastAsia="ja-JP"/>
                              </w:rPr>
                              <w:t xml:space="preserve"> </w:t>
                            </w:r>
                            <w:r w:rsidRPr="00567E0F">
                              <w:rPr>
                                <w:sz w:val="22"/>
                                <w:szCs w:val="22"/>
                              </w:rPr>
                              <w:t>Slide 3 of R1-1909864 is agreed:</w:t>
                            </w:r>
                          </w:p>
                          <w:p w:rsidR="00567E0F" w:rsidRPr="00567E0F" w:rsidRDefault="00567E0F" w:rsidP="00567E0F">
                            <w:pPr>
                              <w:pStyle w:val="a4"/>
                              <w:rPr>
                                <w:bCs/>
                                <w:sz w:val="22"/>
                                <w:szCs w:val="22"/>
                              </w:rPr>
                            </w:pPr>
                          </w:p>
                          <w:p w:rsidR="00567E0F" w:rsidRPr="00567E0F" w:rsidRDefault="00567E0F" w:rsidP="00567E0F">
                            <w:pPr>
                              <w:pStyle w:val="a4"/>
                              <w:widowControl w:val="0"/>
                              <w:numPr>
                                <w:ilvl w:val="0"/>
                                <w:numId w:val="27"/>
                              </w:numPr>
                              <w:jc w:val="both"/>
                              <w:rPr>
                                <w:bCs/>
                                <w:sz w:val="22"/>
                                <w:szCs w:val="22"/>
                              </w:rPr>
                            </w:pPr>
                            <w:r w:rsidRPr="00567E0F">
                              <w:rPr>
                                <w:bCs/>
                                <w:sz w:val="22"/>
                                <w:szCs w:val="22"/>
                                <w:highlight w:val="green"/>
                              </w:rPr>
                              <w:t xml:space="preserve">[Offline consensus] </w:t>
                            </w:r>
                            <w:r w:rsidRPr="00567E0F">
                              <w:rPr>
                                <w:bCs/>
                                <w:sz w:val="22"/>
                                <w:szCs w:val="22"/>
                              </w:rPr>
                              <w:t xml:space="preserve">Considering the following two alternatives for semi-static power sharing with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P</m:t>
                                  </m:r>
                                </m:e>
                                <m:sub>
                                  <m:r>
                                    <w:rPr>
                                      <w:rFonts w:ascii="Cambria Math" w:hAnsi="Cambria Math"/>
                                      <w:sz w:val="22"/>
                                      <w:szCs w:val="22"/>
                                    </w:rPr>
                                    <m:t>Total</m:t>
                                  </m:r>
                                </m:sub>
                                <m:sup>
                                  <m:r>
                                    <w:rPr>
                                      <w:rFonts w:ascii="Cambria Math" w:hAnsi="Cambria Math"/>
                                      <w:sz w:val="22"/>
                                      <w:szCs w:val="22"/>
                                    </w:rPr>
                                    <m:t>NN- DC</m:t>
                                  </m:r>
                                </m:sup>
                              </m:sSubSup>
                            </m:oMath>
                          </w:p>
                          <w:p w:rsidR="00567E0F" w:rsidRPr="00567E0F" w:rsidRDefault="00567E0F" w:rsidP="00567E0F">
                            <w:pPr>
                              <w:pStyle w:val="a4"/>
                              <w:widowControl w:val="0"/>
                              <w:numPr>
                                <w:ilvl w:val="1"/>
                                <w:numId w:val="26"/>
                              </w:numPr>
                              <w:contextualSpacing w:val="0"/>
                              <w:jc w:val="both"/>
                              <w:rPr>
                                <w:bCs/>
                                <w:sz w:val="22"/>
                                <w:szCs w:val="22"/>
                              </w:rPr>
                            </w:pPr>
                            <w:r w:rsidRPr="00567E0F">
                              <w:rPr>
                                <w:bCs/>
                                <w:sz w:val="22"/>
                                <w:szCs w:val="22"/>
                              </w:rPr>
                              <w:t>Alt.1: For the uplink transmission in MCG, the UE checks the semi-statically configured direction of the overlapping symbols of all serving cells of SCG, and vice versa.</w:t>
                            </w:r>
                          </w:p>
                          <w:p w:rsidR="00567E0F" w:rsidRPr="00567E0F" w:rsidRDefault="00567E0F" w:rsidP="00567E0F">
                            <w:pPr>
                              <w:pStyle w:val="a4"/>
                              <w:widowControl w:val="0"/>
                              <w:numPr>
                                <w:ilvl w:val="2"/>
                                <w:numId w:val="26"/>
                              </w:numPr>
                              <w:contextualSpacing w:val="0"/>
                              <w:jc w:val="both"/>
                              <w:rPr>
                                <w:bCs/>
                                <w:sz w:val="22"/>
                                <w:szCs w:val="22"/>
                              </w:rPr>
                            </w:pPr>
                            <w:r w:rsidRPr="00567E0F">
                              <w:rPr>
                                <w:bCs/>
                                <w:sz w:val="22"/>
                                <w:szCs w:val="22"/>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in MCG such that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r>
                                <m:rPr>
                                  <m:sty m:val="p"/>
                                </m:rPr>
                                <w:rPr>
                                  <w:rFonts w:ascii="Cambria Math" w:hAnsi="Cambria Math"/>
                                  <w:sz w:val="22"/>
                                  <w:szCs w:val="22"/>
                                </w:rPr>
                                <m:t>≤</m:t>
                              </m:r>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w:t>
                            </w:r>
                          </w:p>
                          <w:p w:rsidR="00567E0F" w:rsidRPr="00567E0F" w:rsidRDefault="00567E0F" w:rsidP="00567E0F">
                            <w:pPr>
                              <w:pStyle w:val="a4"/>
                              <w:widowControl w:val="0"/>
                              <w:numPr>
                                <w:ilvl w:val="2"/>
                                <w:numId w:val="26"/>
                              </w:numPr>
                              <w:contextualSpacing w:val="0"/>
                              <w:jc w:val="both"/>
                              <w:rPr>
                                <w:bCs/>
                                <w:sz w:val="22"/>
                                <w:szCs w:val="22"/>
                              </w:rPr>
                            </w:pPr>
                            <w:r w:rsidRPr="00567E0F">
                              <w:rPr>
                                <w:bCs/>
                                <w:sz w:val="22"/>
                                <w:szCs w:val="22"/>
                              </w:rPr>
                              <w:t xml:space="preserve">Otherwise (i.e. collides with only semi-static ‘DL’ symbols on all CCs of SCG),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can be up to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MCG</m:t>
                                  </m:r>
                                </m:sub>
                                <m:sup>
                                  <m:r>
                                    <m:rPr>
                                      <m:sty m:val="p"/>
                                    </m:rPr>
                                    <w:rPr>
                                      <w:rFonts w:ascii="Cambria Math" w:hAnsi="Cambria Math"/>
                                      <w:sz w:val="22"/>
                                      <w:szCs w:val="22"/>
                                    </w:rPr>
                                    <m:t>'</m:t>
                                  </m:r>
                                </m:sup>
                              </m:sSubSup>
                            </m:oMath>
                            <w:r w:rsidRPr="00567E0F">
                              <w:rPr>
                                <w:bCs/>
                                <w:sz w:val="22"/>
                                <w:szCs w:val="22"/>
                              </w:rPr>
                              <w:t xml:space="preserve"> and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oMath>
                            <w:r w:rsidRPr="00567E0F">
                              <w:rPr>
                                <w:bCs/>
                                <w:sz w:val="22"/>
                                <w:szCs w:val="22"/>
                              </w:rPr>
                              <w:t xml:space="preserve"> can be up to </w:t>
                            </w:r>
                            <m:oMath>
                              <m:r>
                                <m:rPr>
                                  <m:sty m:val="p"/>
                                </m:rPr>
                                <w:rPr>
                                  <w:rFonts w:ascii="Cambria Math" w:hAnsi="Cambria Math"/>
                                  <w:sz w:val="22"/>
                                  <w:szCs w:val="22"/>
                                </w:rPr>
                                <m:t> </m:t>
                              </m:r>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SCG</m:t>
                                  </m:r>
                                </m:sub>
                                <m:sup>
                                  <m:r>
                                    <m:rPr>
                                      <m:sty m:val="p"/>
                                    </m:rPr>
                                    <w:rPr>
                                      <w:rFonts w:ascii="Cambria Math" w:hAnsi="Cambria Math"/>
                                      <w:sz w:val="22"/>
                                      <w:szCs w:val="22"/>
                                    </w:rPr>
                                    <m:t>'</m:t>
                                  </m:r>
                                </m:sup>
                              </m:sSubSup>
                            </m:oMath>
                            <w:r w:rsidRPr="00567E0F">
                              <w:rPr>
                                <w:bCs/>
                                <w:sz w:val="22"/>
                                <w:szCs w:val="22"/>
                              </w:rPr>
                              <w:t xml:space="preserve">  .</w:t>
                            </w:r>
                          </w:p>
                          <w:p w:rsidR="00567E0F" w:rsidRPr="00567E0F" w:rsidRDefault="00567E0F" w:rsidP="00567E0F">
                            <w:pPr>
                              <w:pStyle w:val="a4"/>
                              <w:widowControl w:val="0"/>
                              <w:numPr>
                                <w:ilvl w:val="3"/>
                                <w:numId w:val="26"/>
                              </w:numPr>
                              <w:contextualSpacing w:val="0"/>
                              <w:jc w:val="both"/>
                              <w:rPr>
                                <w:bCs/>
                                <w:sz w:val="22"/>
                                <w:szCs w:val="22"/>
                              </w:rPr>
                            </w:pPr>
                            <w:r w:rsidRPr="00567E0F">
                              <w:rPr>
                                <w:bCs/>
                                <w:sz w:val="22"/>
                                <w:szCs w:val="22"/>
                              </w:rPr>
                              <w:t xml:space="preserve">Alt.1-1: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MCG</m:t>
                                  </m:r>
                                </m:sub>
                                <m:sup>
                                  <m:r>
                                    <m:rPr>
                                      <m:sty m:val="p"/>
                                    </m:rPr>
                                    <w:rPr>
                                      <w:rFonts w:ascii="Cambria Math" w:hAnsi="Cambria Math"/>
                                      <w:sz w:val="22"/>
                                      <w:szCs w:val="22"/>
                                    </w:rPr>
                                    <m:t>'</m:t>
                                  </m:r>
                                </m:sup>
                              </m:sSubSup>
                            </m:oMath>
                            <w:r w:rsidRPr="00567E0F">
                              <w:rPr>
                                <w:bCs/>
                                <w:sz w:val="22"/>
                                <w:szCs w:val="22"/>
                              </w:rPr>
                              <w:t xml:space="preserve"> and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SCG</m:t>
                                  </m:r>
                                </m:sub>
                                <m:sup>
                                  <m:r>
                                    <m:rPr>
                                      <m:sty m:val="p"/>
                                    </m:rPr>
                                    <w:rPr>
                                      <w:rFonts w:ascii="Cambria Math" w:hAnsi="Cambria Math"/>
                                      <w:sz w:val="22"/>
                                      <w:szCs w:val="22"/>
                                    </w:rPr>
                                    <m:t>'</m:t>
                                  </m:r>
                                </m:sup>
                              </m:sSubSup>
                            </m:oMath>
                            <w:r w:rsidRPr="00567E0F">
                              <w:rPr>
                                <w:bCs/>
                                <w:sz w:val="22"/>
                                <w:szCs w:val="22"/>
                              </w:rPr>
                              <w:t xml:space="preserve">  are configured by RRC signaling. </w:t>
                            </w:r>
                          </w:p>
                          <w:p w:rsidR="00567E0F" w:rsidRPr="00567E0F" w:rsidRDefault="00567E0F" w:rsidP="00567E0F">
                            <w:pPr>
                              <w:pStyle w:val="a4"/>
                              <w:widowControl w:val="0"/>
                              <w:numPr>
                                <w:ilvl w:val="3"/>
                                <w:numId w:val="26"/>
                              </w:numPr>
                              <w:contextualSpacing w:val="0"/>
                              <w:jc w:val="both"/>
                              <w:rPr>
                                <w:bCs/>
                                <w:sz w:val="22"/>
                                <w:szCs w:val="22"/>
                              </w:rPr>
                            </w:pPr>
                            <w:r w:rsidRPr="00567E0F">
                              <w:rPr>
                                <w:bCs/>
                                <w:sz w:val="22"/>
                                <w:szCs w:val="22"/>
                                <w:highlight w:val="yellow"/>
                              </w:rPr>
                              <w:t>Alt.1-2</w:t>
                            </w:r>
                            <w:r w:rsidRPr="00567E0F">
                              <w:rPr>
                                <w:bCs/>
                                <w:sz w:val="22"/>
                                <w:szCs w:val="22"/>
                              </w:rPr>
                              <w:t xml:space="preserve">: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MCG</m:t>
                                  </m:r>
                                </m:sub>
                                <m:sup>
                                  <m:r>
                                    <m:rPr>
                                      <m:sty m:val="p"/>
                                    </m:rPr>
                                    <w:rPr>
                                      <w:rFonts w:ascii="Cambria Math" w:hAnsi="Cambria Math"/>
                                      <w:sz w:val="22"/>
                                      <w:szCs w:val="22"/>
                                    </w:rPr>
                                    <m:t>'</m:t>
                                  </m:r>
                                </m:sup>
                              </m:sSubSup>
                            </m:oMath>
                            <w:r w:rsidRPr="00567E0F">
                              <w:rPr>
                                <w:bCs/>
                                <w:sz w:val="22"/>
                                <w:szCs w:val="22"/>
                              </w:rPr>
                              <w:t xml:space="preserve"> and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SCG</m:t>
                                  </m:r>
                                </m:sub>
                                <m:sup>
                                  <m:r>
                                    <m:rPr>
                                      <m:sty m:val="p"/>
                                    </m:rPr>
                                    <w:rPr>
                                      <w:rFonts w:ascii="Cambria Math" w:hAnsi="Cambria Math"/>
                                      <w:sz w:val="22"/>
                                      <w:szCs w:val="22"/>
                                    </w:rPr>
                                    <m:t>'</m:t>
                                  </m:r>
                                </m:sup>
                              </m:sSubSup>
                            </m:oMath>
                            <w:r w:rsidRPr="00567E0F">
                              <w:rPr>
                                <w:bCs/>
                                <w:sz w:val="22"/>
                                <w:szCs w:val="22"/>
                              </w:rPr>
                              <w:t xml:space="preserve">  are determined by RAN4 requirement. </w:t>
                            </w:r>
                          </w:p>
                          <w:p w:rsidR="00567E0F" w:rsidRPr="00567E0F" w:rsidRDefault="00567E0F" w:rsidP="00567E0F">
                            <w:pPr>
                              <w:pStyle w:val="a4"/>
                              <w:widowControl w:val="0"/>
                              <w:numPr>
                                <w:ilvl w:val="1"/>
                                <w:numId w:val="26"/>
                              </w:numPr>
                              <w:contextualSpacing w:val="0"/>
                              <w:jc w:val="both"/>
                              <w:rPr>
                                <w:bCs/>
                                <w:sz w:val="22"/>
                                <w:szCs w:val="22"/>
                              </w:rPr>
                            </w:pPr>
                            <w:r w:rsidRPr="00567E0F">
                              <w:rPr>
                                <w:bCs/>
                                <w:sz w:val="22"/>
                                <w:szCs w:val="22"/>
                                <w:highlight w:val="yellow"/>
                              </w:rPr>
                              <w:t>Alt.2</w:t>
                            </w:r>
                            <w:r w:rsidRPr="00567E0F">
                              <w:rPr>
                                <w:bCs/>
                                <w:sz w:val="22"/>
                                <w:szCs w:val="22"/>
                              </w:rPr>
                              <w:t xml:space="preserve">: For the uplink transmission in MCG and in SCG, UE limits its actual transmission power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to be up to</w:t>
                            </w:r>
                            <m:oMath>
                              <m:sSub>
                                <m:sSubPr>
                                  <m:ctrlPr>
                                    <w:rPr>
                                      <w:rFonts w:ascii="Cambria Math" w:hAnsi="Cambria Math"/>
                                      <w:bCs/>
                                      <w:i/>
                                      <w:iCs/>
                                      <w:sz w:val="22"/>
                                      <w:szCs w:val="22"/>
                                    </w:rPr>
                                  </m:ctrlPr>
                                </m:sSubPr>
                                <m:e>
                                  <m:r>
                                    <m:rPr>
                                      <m:sty m:val="p"/>
                                    </m:rPr>
                                    <w:rPr>
                                      <w:rFonts w:ascii="Cambria Math" w:hAnsi="Cambria Math"/>
                                      <w:sz w:val="22"/>
                                      <w:szCs w:val="22"/>
                                    </w:rPr>
                                    <m:t> P</m:t>
                                  </m:r>
                                </m:e>
                                <m:sub>
                                  <m:r>
                                    <m:rPr>
                                      <m:sty m:val="p"/>
                                    </m:rPr>
                                    <w:rPr>
                                      <w:rFonts w:ascii="Cambria Math" w:hAnsi="Cambria Math"/>
                                      <w:sz w:val="22"/>
                                      <w:szCs w:val="22"/>
                                    </w:rPr>
                                    <m:t>MCG</m:t>
                                  </m:r>
                                </m:sub>
                              </m:sSub>
                            </m:oMath>
                            <w:r w:rsidRPr="00567E0F">
                              <w:rPr>
                                <w:bCs/>
                                <w:sz w:val="22"/>
                                <w:szCs w:val="22"/>
                              </w:rPr>
                              <w:t xml:space="preserve">and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oMath>
                            <w:r w:rsidRPr="00567E0F">
                              <w:rPr>
                                <w:bCs/>
                                <w:sz w:val="22"/>
                                <w:szCs w:val="22"/>
                              </w:rPr>
                              <w:t xml:space="preserve"> to be up to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oMath>
                          </w:p>
                          <w:p w:rsidR="00567E0F" w:rsidRPr="00567E0F" w:rsidRDefault="00567E0F" w:rsidP="00567E0F">
                            <w:pPr>
                              <w:rPr>
                                <w:sz w:val="22"/>
                                <w:szCs w:val="22"/>
                              </w:rPr>
                            </w:pPr>
                          </w:p>
                          <w:p w:rsidR="00567E0F" w:rsidRPr="00567E0F" w:rsidRDefault="00567E0F" w:rsidP="00567E0F">
                            <w:pPr>
                              <w:outlineLvl w:val="4"/>
                              <w:rPr>
                                <w:b/>
                                <w:sz w:val="22"/>
                                <w:szCs w:val="22"/>
                                <w:u w:val="single"/>
                                <w:lang w:eastAsia="ja-JP"/>
                              </w:rPr>
                            </w:pPr>
                            <w:r w:rsidRPr="00567E0F">
                              <w:rPr>
                                <w:b/>
                                <w:sz w:val="22"/>
                                <w:szCs w:val="22"/>
                                <w:u w:val="single"/>
                                <w:lang w:eastAsia="ja-JP"/>
                              </w:rPr>
                              <w:t>RAN1-98bis (October 2019)</w:t>
                            </w:r>
                          </w:p>
                          <w:p w:rsidR="00567E0F" w:rsidRPr="00567E0F" w:rsidRDefault="00567E0F" w:rsidP="00567E0F">
                            <w:pPr>
                              <w:rPr>
                                <w:b/>
                                <w:bCs/>
                                <w:sz w:val="22"/>
                                <w:szCs w:val="22"/>
                                <w:lang w:eastAsia="x-none"/>
                              </w:rPr>
                            </w:pPr>
                            <w:r w:rsidRPr="00567E0F">
                              <w:rPr>
                                <w:sz w:val="22"/>
                                <w:szCs w:val="22"/>
                                <w:highlight w:val="green"/>
                                <w:lang w:eastAsia="x-none"/>
                              </w:rPr>
                              <w:t>Agreements</w:t>
                            </w:r>
                            <w:r w:rsidRPr="00567E0F">
                              <w:rPr>
                                <w:b/>
                                <w:bCs/>
                                <w:sz w:val="22"/>
                                <w:szCs w:val="22"/>
                                <w:lang w:eastAsia="x-none"/>
                              </w:rPr>
                              <w:t>:</w:t>
                            </w:r>
                          </w:p>
                          <w:p w:rsidR="00567E0F" w:rsidRPr="00567E0F" w:rsidRDefault="00567E0F" w:rsidP="00567E0F">
                            <w:pPr>
                              <w:pStyle w:val="a4"/>
                              <w:numPr>
                                <w:ilvl w:val="0"/>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Adopt Alt.1-2 and Alt.2 for semi-static power sharing for NR-NR DC.</w:t>
                            </w:r>
                          </w:p>
                          <w:p w:rsidR="00567E0F" w:rsidRPr="00567E0F" w:rsidRDefault="00567E0F" w:rsidP="00567E0F">
                            <w:pPr>
                              <w:pStyle w:val="a4"/>
                              <w:numPr>
                                <w:ilvl w:val="1"/>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 xml:space="preserve">Alt.1-2 is only subject to configured maximum transmission power defined by RAN4 </w:t>
                            </w:r>
                          </w:p>
                          <w:p w:rsidR="00567E0F" w:rsidRPr="00567E0F" w:rsidRDefault="00567E0F" w:rsidP="00567E0F">
                            <w:pPr>
                              <w:pStyle w:val="a4"/>
                              <w:numPr>
                                <w:ilvl w:val="1"/>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Configuration between Alt.1-2 and Alt.2 is supported.</w:t>
                            </w:r>
                          </w:p>
                          <w:p w:rsidR="00567E0F" w:rsidRPr="00567E0F" w:rsidRDefault="00567E0F" w:rsidP="00567E0F">
                            <w:pPr>
                              <w:pStyle w:val="a4"/>
                              <w:numPr>
                                <w:ilvl w:val="1"/>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FFS: add more clarification</w:t>
                            </w:r>
                          </w:p>
                          <w:p w:rsidR="00567E0F" w:rsidRPr="00567E0F" w:rsidRDefault="00567E0F" w:rsidP="00567E0F">
                            <w:pPr>
                              <w:rPr>
                                <w:sz w:val="22"/>
                                <w:szCs w:val="22"/>
                              </w:rPr>
                            </w:pPr>
                            <w:r w:rsidRPr="00567E0F">
                              <w:rPr>
                                <w:rFonts w:ascii="Arial" w:hAnsi="Arial" w:cs="Arial"/>
                                <w:sz w:val="22"/>
                                <w:szCs w:val="22"/>
                              </w:rPr>
                              <w:t>FFS: applied for synchronous DC only or applied for both synchronous and asynchronous DC (which may be the same or different for Alt.1-2 and Alt.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0;margin-top:43.35pt;width:522.75pt;height:387.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">
                <v:textbox>
                  <w:txbxContent>
                    <w:p w:rsidR="00567E0F" w:rsidRPr="00567E0F" w:rsidRDefault="00567E0F" w:rsidP="00567E0F">
                      <w:pPr>
                        <w:outlineLvl w:val="4"/>
                        <w:rPr>
                          <w:b/>
                          <w:sz w:val="22"/>
                          <w:szCs w:val="22"/>
                          <w:u w:val="single"/>
                          <w:lang w:eastAsia="ja-JP"/>
                        </w:rPr>
                      </w:pPr>
                      <w:r w:rsidRPr="00567E0F">
                        <w:rPr>
                          <w:b/>
                          <w:sz w:val="22"/>
                          <w:szCs w:val="22"/>
                          <w:u w:val="single"/>
                          <w:lang w:eastAsia="ja-JP"/>
                        </w:rPr>
                        <w:t>RAN1-98 (August 2019)</w:t>
                      </w:r>
                    </w:p>
                    <w:p w:rsidR="00567E0F" w:rsidRPr="00567E0F" w:rsidRDefault="00567E0F" w:rsidP="00567E0F">
                      <w:pPr>
                        <w:rPr>
                          <w:sz w:val="22"/>
                          <w:szCs w:val="22"/>
                          <w:lang w:eastAsia="ja-JP"/>
                        </w:rPr>
                      </w:pPr>
                      <w:r w:rsidRPr="00567E0F">
                        <w:rPr>
                          <w:sz w:val="22"/>
                          <w:szCs w:val="22"/>
                          <w:highlight w:val="green"/>
                          <w:lang w:eastAsia="ja-JP"/>
                        </w:rPr>
                        <w:t>Agreements:</w:t>
                      </w:r>
                    </w:p>
                    <w:p w:rsidR="00567E0F" w:rsidRPr="00567E0F" w:rsidRDefault="00567E0F" w:rsidP="00567E0F">
                      <w:pPr>
                        <w:pStyle w:val="a4"/>
                        <w:widowControl w:val="0"/>
                        <w:numPr>
                          <w:ilvl w:val="1"/>
                          <w:numId w:val="25"/>
                        </w:numPr>
                        <w:contextualSpacing w:val="0"/>
                        <w:jc w:val="both"/>
                        <w:rPr>
                          <w:bCs/>
                          <w:sz w:val="22"/>
                          <w:szCs w:val="22"/>
                        </w:rPr>
                      </w:pPr>
                      <w:r w:rsidRPr="00567E0F">
                        <w:rPr>
                          <w:bCs/>
                          <w:sz w:val="22"/>
                          <w:szCs w:val="22"/>
                        </w:rPr>
                        <w:t xml:space="preserve">Aim to reuse the existing CA power determination for uplink transmissions on CC(s) in a same CG. </w:t>
                      </w:r>
                    </w:p>
                    <w:p w:rsidR="00567E0F" w:rsidRPr="00567E0F" w:rsidRDefault="00567E0F" w:rsidP="00567E0F">
                      <w:pPr>
                        <w:pStyle w:val="a4"/>
                        <w:ind w:left="800"/>
                        <w:rPr>
                          <w:bCs/>
                          <w:sz w:val="22"/>
                          <w:szCs w:val="22"/>
                        </w:rPr>
                      </w:pPr>
                    </w:p>
                    <w:p w:rsidR="00567E0F" w:rsidRPr="00567E0F" w:rsidRDefault="00567E0F" w:rsidP="00567E0F">
                      <w:pPr>
                        <w:rPr>
                          <w:b/>
                          <w:sz w:val="22"/>
                          <w:szCs w:val="22"/>
                          <w:u w:val="single"/>
                          <w:lang w:eastAsia="ja-JP"/>
                        </w:rPr>
                      </w:pPr>
                      <w:r w:rsidRPr="00567E0F">
                        <w:rPr>
                          <w:b/>
                          <w:sz w:val="22"/>
                          <w:szCs w:val="22"/>
                          <w:highlight w:val="green"/>
                          <w:u w:val="single"/>
                          <w:lang w:eastAsia="ja-JP"/>
                        </w:rPr>
                        <w:t>Agreements:</w:t>
                      </w:r>
                      <w:r w:rsidRPr="00567E0F">
                        <w:rPr>
                          <w:b/>
                          <w:sz w:val="22"/>
                          <w:szCs w:val="22"/>
                          <w:u w:val="single"/>
                          <w:lang w:eastAsia="ja-JP"/>
                        </w:rPr>
                        <w:t xml:space="preserve"> </w:t>
                      </w:r>
                      <w:r w:rsidRPr="00567E0F">
                        <w:rPr>
                          <w:sz w:val="22"/>
                          <w:szCs w:val="22"/>
                        </w:rPr>
                        <w:t>Slide 3 of R1-1909864 is agreed:</w:t>
                      </w:r>
                    </w:p>
                    <w:p w:rsidR="00567E0F" w:rsidRPr="00567E0F" w:rsidRDefault="00567E0F" w:rsidP="00567E0F">
                      <w:pPr>
                        <w:pStyle w:val="a4"/>
                        <w:rPr>
                          <w:bCs/>
                          <w:sz w:val="22"/>
                          <w:szCs w:val="22"/>
                        </w:rPr>
                      </w:pPr>
                    </w:p>
                    <w:p w:rsidR="00567E0F" w:rsidRPr="00567E0F" w:rsidRDefault="00567E0F" w:rsidP="00567E0F">
                      <w:pPr>
                        <w:pStyle w:val="a4"/>
                        <w:widowControl w:val="0"/>
                        <w:numPr>
                          <w:ilvl w:val="0"/>
                          <w:numId w:val="27"/>
                        </w:numPr>
                        <w:jc w:val="both"/>
                        <w:rPr>
                          <w:bCs/>
                          <w:sz w:val="22"/>
                          <w:szCs w:val="22"/>
                        </w:rPr>
                      </w:pPr>
                      <w:r w:rsidRPr="00567E0F">
                        <w:rPr>
                          <w:bCs/>
                          <w:sz w:val="22"/>
                          <w:szCs w:val="22"/>
                          <w:highlight w:val="green"/>
                        </w:rPr>
                        <w:t xml:space="preserve">[Offline consensus] </w:t>
                      </w:r>
                      <w:r w:rsidRPr="00567E0F">
                        <w:rPr>
                          <w:bCs/>
                          <w:sz w:val="22"/>
                          <w:szCs w:val="22"/>
                        </w:rPr>
                        <w:t xml:space="preserve">Considering the following two alternatives for semi-static power sharing with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P</m:t>
                            </m:r>
                          </m:e>
                          <m:sub>
                            <m:r>
                              <w:rPr>
                                <w:rFonts w:ascii="Cambria Math" w:hAnsi="Cambria Math"/>
                                <w:sz w:val="22"/>
                                <w:szCs w:val="22"/>
                              </w:rPr>
                              <m:t>Total</m:t>
                            </m:r>
                          </m:sub>
                          <m:sup>
                            <m:r>
                              <w:rPr>
                                <w:rFonts w:ascii="Cambria Math" w:hAnsi="Cambria Math"/>
                                <w:sz w:val="22"/>
                                <w:szCs w:val="22"/>
                              </w:rPr>
                              <m:t>NN- DC</m:t>
                            </m:r>
                          </m:sup>
                        </m:sSubSup>
                      </m:oMath>
                    </w:p>
                    <w:p w:rsidR="00567E0F" w:rsidRPr="00567E0F" w:rsidRDefault="00567E0F" w:rsidP="00567E0F">
                      <w:pPr>
                        <w:pStyle w:val="a4"/>
                        <w:widowControl w:val="0"/>
                        <w:numPr>
                          <w:ilvl w:val="1"/>
                          <w:numId w:val="26"/>
                        </w:numPr>
                        <w:contextualSpacing w:val="0"/>
                        <w:jc w:val="both"/>
                        <w:rPr>
                          <w:bCs/>
                          <w:sz w:val="22"/>
                          <w:szCs w:val="22"/>
                        </w:rPr>
                      </w:pPr>
                      <w:r w:rsidRPr="00567E0F">
                        <w:rPr>
                          <w:bCs/>
                          <w:sz w:val="22"/>
                          <w:szCs w:val="22"/>
                        </w:rPr>
                        <w:t>Alt.1: For the uplink transmission in MCG, the UE checks the semi-statically configured direction of the overlapping symbols of all serving cells of SCG, and vice versa.</w:t>
                      </w:r>
                    </w:p>
                    <w:p w:rsidR="00567E0F" w:rsidRPr="00567E0F" w:rsidRDefault="00567E0F" w:rsidP="00567E0F">
                      <w:pPr>
                        <w:pStyle w:val="a4"/>
                        <w:widowControl w:val="0"/>
                        <w:numPr>
                          <w:ilvl w:val="2"/>
                          <w:numId w:val="26"/>
                        </w:numPr>
                        <w:contextualSpacing w:val="0"/>
                        <w:jc w:val="both"/>
                        <w:rPr>
                          <w:bCs/>
                          <w:sz w:val="22"/>
                          <w:szCs w:val="22"/>
                        </w:rPr>
                      </w:pPr>
                      <w:r w:rsidRPr="00567E0F">
                        <w:rPr>
                          <w:bCs/>
                          <w:sz w:val="22"/>
                          <w:szCs w:val="22"/>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in MCG such that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r>
                          <m:rPr>
                            <m:sty m:val="p"/>
                          </m:rPr>
                          <w:rPr>
                            <w:rFonts w:ascii="Cambria Math" w:hAnsi="Cambria Math"/>
                            <w:sz w:val="22"/>
                            <w:szCs w:val="22"/>
                          </w:rPr>
                          <m:t>≤</m:t>
                        </m:r>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w:t>
                      </w:r>
                    </w:p>
                    <w:p w:rsidR="00567E0F" w:rsidRPr="00567E0F" w:rsidRDefault="00567E0F" w:rsidP="00567E0F">
                      <w:pPr>
                        <w:pStyle w:val="a4"/>
                        <w:widowControl w:val="0"/>
                        <w:numPr>
                          <w:ilvl w:val="2"/>
                          <w:numId w:val="26"/>
                        </w:numPr>
                        <w:contextualSpacing w:val="0"/>
                        <w:jc w:val="both"/>
                        <w:rPr>
                          <w:bCs/>
                          <w:sz w:val="22"/>
                          <w:szCs w:val="22"/>
                        </w:rPr>
                      </w:pPr>
                      <w:r w:rsidRPr="00567E0F">
                        <w:rPr>
                          <w:bCs/>
                          <w:sz w:val="22"/>
                          <w:szCs w:val="22"/>
                        </w:rPr>
                        <w:t xml:space="preserve">Otherwise (i.e. collides with only semi-static ‘DL’ symbols on all CCs of SCG),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can be up to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MCG</m:t>
                            </m:r>
                          </m:sub>
                          <m:sup>
                            <m:r>
                              <m:rPr>
                                <m:sty m:val="p"/>
                              </m:rPr>
                              <w:rPr>
                                <w:rFonts w:ascii="Cambria Math" w:hAnsi="Cambria Math"/>
                                <w:sz w:val="22"/>
                                <w:szCs w:val="22"/>
                              </w:rPr>
                              <m:t>'</m:t>
                            </m:r>
                          </m:sup>
                        </m:sSubSup>
                      </m:oMath>
                      <w:r w:rsidRPr="00567E0F">
                        <w:rPr>
                          <w:bCs/>
                          <w:sz w:val="22"/>
                          <w:szCs w:val="22"/>
                        </w:rPr>
                        <w:t xml:space="preserve"> and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oMath>
                      <w:r w:rsidRPr="00567E0F">
                        <w:rPr>
                          <w:bCs/>
                          <w:sz w:val="22"/>
                          <w:szCs w:val="22"/>
                        </w:rPr>
                        <w:t xml:space="preserve"> can be up to </w:t>
                      </w:r>
                      <m:oMath>
                        <m:r>
                          <m:rPr>
                            <m:sty m:val="p"/>
                          </m:rPr>
                          <w:rPr>
                            <w:rFonts w:ascii="Cambria Math" w:hAnsi="Cambria Math"/>
                            <w:sz w:val="22"/>
                            <w:szCs w:val="22"/>
                          </w:rPr>
                          <m:t> </m:t>
                        </m:r>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SCG</m:t>
                            </m:r>
                          </m:sub>
                          <m:sup>
                            <m:r>
                              <m:rPr>
                                <m:sty m:val="p"/>
                              </m:rPr>
                              <w:rPr>
                                <w:rFonts w:ascii="Cambria Math" w:hAnsi="Cambria Math"/>
                                <w:sz w:val="22"/>
                                <w:szCs w:val="22"/>
                              </w:rPr>
                              <m:t>'</m:t>
                            </m:r>
                          </m:sup>
                        </m:sSubSup>
                      </m:oMath>
                      <w:r w:rsidRPr="00567E0F">
                        <w:rPr>
                          <w:bCs/>
                          <w:sz w:val="22"/>
                          <w:szCs w:val="22"/>
                        </w:rPr>
                        <w:t xml:space="preserve">  .</w:t>
                      </w:r>
                    </w:p>
                    <w:p w:rsidR="00567E0F" w:rsidRPr="00567E0F" w:rsidRDefault="00567E0F" w:rsidP="00567E0F">
                      <w:pPr>
                        <w:pStyle w:val="a4"/>
                        <w:widowControl w:val="0"/>
                        <w:numPr>
                          <w:ilvl w:val="3"/>
                          <w:numId w:val="26"/>
                        </w:numPr>
                        <w:contextualSpacing w:val="0"/>
                        <w:jc w:val="both"/>
                        <w:rPr>
                          <w:bCs/>
                          <w:sz w:val="22"/>
                          <w:szCs w:val="22"/>
                        </w:rPr>
                      </w:pPr>
                      <w:r w:rsidRPr="00567E0F">
                        <w:rPr>
                          <w:bCs/>
                          <w:sz w:val="22"/>
                          <w:szCs w:val="22"/>
                        </w:rPr>
                        <w:t xml:space="preserve">Alt.1-1: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MCG</m:t>
                            </m:r>
                          </m:sub>
                          <m:sup>
                            <m:r>
                              <m:rPr>
                                <m:sty m:val="p"/>
                              </m:rPr>
                              <w:rPr>
                                <w:rFonts w:ascii="Cambria Math" w:hAnsi="Cambria Math"/>
                                <w:sz w:val="22"/>
                                <w:szCs w:val="22"/>
                              </w:rPr>
                              <m:t>'</m:t>
                            </m:r>
                          </m:sup>
                        </m:sSubSup>
                      </m:oMath>
                      <w:r w:rsidRPr="00567E0F">
                        <w:rPr>
                          <w:bCs/>
                          <w:sz w:val="22"/>
                          <w:szCs w:val="22"/>
                        </w:rPr>
                        <w:t xml:space="preserve"> and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SCG</m:t>
                            </m:r>
                          </m:sub>
                          <m:sup>
                            <m:r>
                              <m:rPr>
                                <m:sty m:val="p"/>
                              </m:rPr>
                              <w:rPr>
                                <w:rFonts w:ascii="Cambria Math" w:hAnsi="Cambria Math"/>
                                <w:sz w:val="22"/>
                                <w:szCs w:val="22"/>
                              </w:rPr>
                              <m:t>'</m:t>
                            </m:r>
                          </m:sup>
                        </m:sSubSup>
                      </m:oMath>
                      <w:r w:rsidRPr="00567E0F">
                        <w:rPr>
                          <w:bCs/>
                          <w:sz w:val="22"/>
                          <w:szCs w:val="22"/>
                        </w:rPr>
                        <w:t xml:space="preserve">  are configured by RRC signaling. </w:t>
                      </w:r>
                    </w:p>
                    <w:p w:rsidR="00567E0F" w:rsidRPr="00567E0F" w:rsidRDefault="00567E0F" w:rsidP="00567E0F">
                      <w:pPr>
                        <w:pStyle w:val="a4"/>
                        <w:widowControl w:val="0"/>
                        <w:numPr>
                          <w:ilvl w:val="3"/>
                          <w:numId w:val="26"/>
                        </w:numPr>
                        <w:contextualSpacing w:val="0"/>
                        <w:jc w:val="both"/>
                        <w:rPr>
                          <w:bCs/>
                          <w:sz w:val="22"/>
                          <w:szCs w:val="22"/>
                        </w:rPr>
                      </w:pPr>
                      <w:r w:rsidRPr="00567E0F">
                        <w:rPr>
                          <w:bCs/>
                          <w:sz w:val="22"/>
                          <w:szCs w:val="22"/>
                          <w:highlight w:val="yellow"/>
                        </w:rPr>
                        <w:t>Alt.1-2</w:t>
                      </w:r>
                      <w:r w:rsidRPr="00567E0F">
                        <w:rPr>
                          <w:bCs/>
                          <w:sz w:val="22"/>
                          <w:szCs w:val="22"/>
                        </w:rPr>
                        <w:t xml:space="preserve">: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MCG</m:t>
                            </m:r>
                          </m:sub>
                          <m:sup>
                            <m:r>
                              <m:rPr>
                                <m:sty m:val="p"/>
                              </m:rPr>
                              <w:rPr>
                                <w:rFonts w:ascii="Cambria Math" w:hAnsi="Cambria Math"/>
                                <w:sz w:val="22"/>
                                <w:szCs w:val="22"/>
                              </w:rPr>
                              <m:t>'</m:t>
                            </m:r>
                          </m:sup>
                        </m:sSubSup>
                      </m:oMath>
                      <w:r w:rsidRPr="00567E0F">
                        <w:rPr>
                          <w:bCs/>
                          <w:sz w:val="22"/>
                          <w:szCs w:val="22"/>
                        </w:rPr>
                        <w:t xml:space="preserve"> and </w:t>
                      </w:r>
                      <m:oMath>
                        <m:sSubSup>
                          <m:sSubSupPr>
                            <m:ctrlPr>
                              <w:rPr>
                                <w:rFonts w:ascii="Cambria Math" w:hAnsi="Cambria Math"/>
                                <w:bCs/>
                                <w:i/>
                                <w:iCs/>
                                <w:sz w:val="22"/>
                                <w:szCs w:val="22"/>
                              </w:rPr>
                            </m:ctrlPr>
                          </m:sSubSupPr>
                          <m:e>
                            <m:r>
                              <m:rPr>
                                <m:sty m:val="p"/>
                              </m:rPr>
                              <w:rPr>
                                <w:rFonts w:ascii="Cambria Math" w:hAnsi="Cambria Math"/>
                                <w:sz w:val="22"/>
                                <w:szCs w:val="22"/>
                              </w:rPr>
                              <m:t>P</m:t>
                            </m:r>
                          </m:e>
                          <m:sub>
                            <m:r>
                              <m:rPr>
                                <m:sty m:val="p"/>
                              </m:rPr>
                              <w:rPr>
                                <w:rFonts w:ascii="Cambria Math" w:hAnsi="Cambria Math"/>
                                <w:sz w:val="22"/>
                                <w:szCs w:val="22"/>
                              </w:rPr>
                              <m:t>SCG</m:t>
                            </m:r>
                          </m:sub>
                          <m:sup>
                            <m:r>
                              <m:rPr>
                                <m:sty m:val="p"/>
                              </m:rPr>
                              <w:rPr>
                                <w:rFonts w:ascii="Cambria Math" w:hAnsi="Cambria Math"/>
                                <w:sz w:val="22"/>
                                <w:szCs w:val="22"/>
                              </w:rPr>
                              <m:t>'</m:t>
                            </m:r>
                          </m:sup>
                        </m:sSubSup>
                      </m:oMath>
                      <w:r w:rsidRPr="00567E0F">
                        <w:rPr>
                          <w:bCs/>
                          <w:sz w:val="22"/>
                          <w:szCs w:val="22"/>
                        </w:rPr>
                        <w:t xml:space="preserve">  are determined by RAN4 requirement. </w:t>
                      </w:r>
                    </w:p>
                    <w:p w:rsidR="00567E0F" w:rsidRPr="00567E0F" w:rsidRDefault="00567E0F" w:rsidP="00567E0F">
                      <w:pPr>
                        <w:pStyle w:val="a4"/>
                        <w:widowControl w:val="0"/>
                        <w:numPr>
                          <w:ilvl w:val="1"/>
                          <w:numId w:val="26"/>
                        </w:numPr>
                        <w:contextualSpacing w:val="0"/>
                        <w:jc w:val="both"/>
                        <w:rPr>
                          <w:bCs/>
                          <w:sz w:val="22"/>
                          <w:szCs w:val="22"/>
                        </w:rPr>
                      </w:pPr>
                      <w:r w:rsidRPr="00567E0F">
                        <w:rPr>
                          <w:bCs/>
                          <w:sz w:val="22"/>
                          <w:szCs w:val="22"/>
                          <w:highlight w:val="yellow"/>
                        </w:rPr>
                        <w:t>Alt.2</w:t>
                      </w:r>
                      <w:r w:rsidRPr="00567E0F">
                        <w:rPr>
                          <w:bCs/>
                          <w:sz w:val="22"/>
                          <w:szCs w:val="22"/>
                        </w:rPr>
                        <w:t xml:space="preserve">: For the uplink transmission in MCG and in SCG, UE limits its actual transmission power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MCG</m:t>
                            </m:r>
                          </m:sub>
                        </m:sSub>
                      </m:oMath>
                      <w:r w:rsidRPr="00567E0F">
                        <w:rPr>
                          <w:bCs/>
                          <w:sz w:val="22"/>
                          <w:szCs w:val="22"/>
                        </w:rPr>
                        <w:t xml:space="preserve"> to be up to</w:t>
                      </w:r>
                      <m:oMath>
                        <m:sSub>
                          <m:sSubPr>
                            <m:ctrlPr>
                              <w:rPr>
                                <w:rFonts w:ascii="Cambria Math" w:hAnsi="Cambria Math"/>
                                <w:bCs/>
                                <w:i/>
                                <w:iCs/>
                                <w:sz w:val="22"/>
                                <w:szCs w:val="22"/>
                              </w:rPr>
                            </m:ctrlPr>
                          </m:sSubPr>
                          <m:e>
                            <m:r>
                              <m:rPr>
                                <m:sty m:val="p"/>
                              </m:rPr>
                              <w:rPr>
                                <w:rFonts w:ascii="Cambria Math" w:hAnsi="Cambria Math"/>
                                <w:sz w:val="22"/>
                                <w:szCs w:val="22"/>
                              </w:rPr>
                              <m:t> P</m:t>
                            </m:r>
                          </m:e>
                          <m:sub>
                            <m:r>
                              <m:rPr>
                                <m:sty m:val="p"/>
                              </m:rPr>
                              <w:rPr>
                                <w:rFonts w:ascii="Cambria Math" w:hAnsi="Cambria Math"/>
                                <w:sz w:val="22"/>
                                <w:szCs w:val="22"/>
                              </w:rPr>
                              <m:t>MCG</m:t>
                            </m:r>
                          </m:sub>
                        </m:sSub>
                      </m:oMath>
                      <w:r w:rsidRPr="00567E0F">
                        <w:rPr>
                          <w:bCs/>
                          <w:sz w:val="22"/>
                          <w:szCs w:val="22"/>
                        </w:rPr>
                        <w:t xml:space="preserve">and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oMath>
                      <w:r w:rsidRPr="00567E0F">
                        <w:rPr>
                          <w:bCs/>
                          <w:sz w:val="22"/>
                          <w:szCs w:val="22"/>
                        </w:rPr>
                        <w:t xml:space="preserve"> to be up to </w:t>
                      </w:r>
                      <m:oMath>
                        <m:sSub>
                          <m:sSubPr>
                            <m:ctrlPr>
                              <w:rPr>
                                <w:rFonts w:ascii="Cambria Math" w:hAnsi="Cambria Math"/>
                                <w:bCs/>
                                <w:i/>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SCG</m:t>
                            </m:r>
                          </m:sub>
                        </m:sSub>
                      </m:oMath>
                    </w:p>
                    <w:p w:rsidR="00567E0F" w:rsidRPr="00567E0F" w:rsidRDefault="00567E0F" w:rsidP="00567E0F">
                      <w:pPr>
                        <w:rPr>
                          <w:sz w:val="22"/>
                          <w:szCs w:val="22"/>
                        </w:rPr>
                      </w:pPr>
                    </w:p>
                    <w:p w:rsidR="00567E0F" w:rsidRPr="00567E0F" w:rsidRDefault="00567E0F" w:rsidP="00567E0F">
                      <w:pPr>
                        <w:outlineLvl w:val="4"/>
                        <w:rPr>
                          <w:b/>
                          <w:sz w:val="22"/>
                          <w:szCs w:val="22"/>
                          <w:u w:val="single"/>
                          <w:lang w:eastAsia="ja-JP"/>
                        </w:rPr>
                      </w:pPr>
                      <w:r w:rsidRPr="00567E0F">
                        <w:rPr>
                          <w:b/>
                          <w:sz w:val="22"/>
                          <w:szCs w:val="22"/>
                          <w:u w:val="single"/>
                          <w:lang w:eastAsia="ja-JP"/>
                        </w:rPr>
                        <w:t>RAN1-98bis (October 2019)</w:t>
                      </w:r>
                    </w:p>
                    <w:p w:rsidR="00567E0F" w:rsidRPr="00567E0F" w:rsidRDefault="00567E0F" w:rsidP="00567E0F">
                      <w:pPr>
                        <w:rPr>
                          <w:b/>
                          <w:bCs/>
                          <w:sz w:val="22"/>
                          <w:szCs w:val="22"/>
                          <w:lang w:eastAsia="x-none"/>
                        </w:rPr>
                      </w:pPr>
                      <w:r w:rsidRPr="00567E0F">
                        <w:rPr>
                          <w:sz w:val="22"/>
                          <w:szCs w:val="22"/>
                          <w:highlight w:val="green"/>
                          <w:lang w:eastAsia="x-none"/>
                        </w:rPr>
                        <w:t>Agreements</w:t>
                      </w:r>
                      <w:r w:rsidRPr="00567E0F">
                        <w:rPr>
                          <w:b/>
                          <w:bCs/>
                          <w:sz w:val="22"/>
                          <w:szCs w:val="22"/>
                          <w:lang w:eastAsia="x-none"/>
                        </w:rPr>
                        <w:t>:</w:t>
                      </w:r>
                    </w:p>
                    <w:p w:rsidR="00567E0F" w:rsidRPr="00567E0F" w:rsidRDefault="00567E0F" w:rsidP="00567E0F">
                      <w:pPr>
                        <w:pStyle w:val="a4"/>
                        <w:numPr>
                          <w:ilvl w:val="0"/>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Adopt Alt.1-2 and Alt.2 for semi-static power sharing for NR-NR DC.</w:t>
                      </w:r>
                    </w:p>
                    <w:p w:rsidR="00567E0F" w:rsidRPr="00567E0F" w:rsidRDefault="00567E0F" w:rsidP="00567E0F">
                      <w:pPr>
                        <w:pStyle w:val="a4"/>
                        <w:numPr>
                          <w:ilvl w:val="1"/>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 xml:space="preserve">Alt.1-2 is only subject to configured maximum transmission power defined by RAN4 </w:t>
                      </w:r>
                    </w:p>
                    <w:p w:rsidR="00567E0F" w:rsidRPr="00567E0F" w:rsidRDefault="00567E0F" w:rsidP="00567E0F">
                      <w:pPr>
                        <w:pStyle w:val="a4"/>
                        <w:numPr>
                          <w:ilvl w:val="1"/>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Configuration between Alt.1-2 and Alt.2 is supported.</w:t>
                      </w:r>
                    </w:p>
                    <w:p w:rsidR="00567E0F" w:rsidRPr="00567E0F" w:rsidRDefault="00567E0F" w:rsidP="00567E0F">
                      <w:pPr>
                        <w:pStyle w:val="a4"/>
                        <w:numPr>
                          <w:ilvl w:val="1"/>
                          <w:numId w:val="11"/>
                        </w:numPr>
                        <w:overflowPunct w:val="0"/>
                        <w:autoSpaceDE w:val="0"/>
                        <w:autoSpaceDN w:val="0"/>
                        <w:adjustRightInd w:val="0"/>
                        <w:spacing w:after="180"/>
                        <w:rPr>
                          <w:rFonts w:ascii="Arial" w:hAnsi="Arial" w:cs="Arial"/>
                          <w:sz w:val="22"/>
                          <w:szCs w:val="22"/>
                        </w:rPr>
                      </w:pPr>
                      <w:r w:rsidRPr="00567E0F">
                        <w:rPr>
                          <w:rFonts w:ascii="Arial" w:hAnsi="Arial" w:cs="Arial"/>
                          <w:sz w:val="22"/>
                          <w:szCs w:val="22"/>
                        </w:rPr>
                        <w:t>FFS: add more clarification</w:t>
                      </w:r>
                    </w:p>
                    <w:p w:rsidR="00567E0F" w:rsidRPr="00567E0F" w:rsidRDefault="00567E0F" w:rsidP="00567E0F">
                      <w:pPr>
                        <w:rPr>
                          <w:sz w:val="22"/>
                          <w:szCs w:val="22"/>
                        </w:rPr>
                      </w:pPr>
                      <w:r w:rsidRPr="00567E0F">
                        <w:rPr>
                          <w:rFonts w:ascii="Arial" w:hAnsi="Arial" w:cs="Arial"/>
                          <w:sz w:val="22"/>
                          <w:szCs w:val="22"/>
                        </w:rPr>
                        <w:t>FFS: applied for synchronous DC only or applied for both synchronous and asynchronous DC (which may be the same or different for Alt.1-2 and Alt. 2)</w:t>
                      </w:r>
                    </w:p>
                  </w:txbxContent>
                </v:textbox>
                <w10:wrap type="square" anchorx="margin"/>
              </v:shape>
            </w:pict>
          </mc:Fallback>
        </mc:AlternateContent>
      </w:r>
      <w:r w:rsidR="00567E0F">
        <w:rPr>
          <w:rFonts w:eastAsia="Malgun Gothic" w:cs="Batang"/>
          <w:sz w:val="22"/>
          <w:szCs w:val="22"/>
          <w:lang w:eastAsia="en-US"/>
        </w:rPr>
        <w:t xml:space="preserve">During the discussion of </w:t>
      </w:r>
      <w:r w:rsidR="00567E0F" w:rsidRPr="00567E0F">
        <w:rPr>
          <w:rFonts w:eastAsia="Malgun Gothic" w:cs="Batang" w:hint="eastAsia"/>
          <w:sz w:val="22"/>
          <w:szCs w:val="22"/>
          <w:lang w:eastAsia="en-US"/>
        </w:rPr>
        <w:t>Rel-16</w:t>
      </w:r>
      <w:r w:rsidR="00567E0F">
        <w:rPr>
          <w:rFonts w:eastAsia="Malgun Gothic" w:cs="Batang"/>
          <w:sz w:val="22"/>
          <w:szCs w:val="22"/>
          <w:lang w:eastAsia="en-US"/>
        </w:rPr>
        <w:t xml:space="preserve"> UL power control for NN-DC, two semi-static power sharing methods (Alt. 1-2 and Alt. </w:t>
      </w:r>
      <w:r>
        <w:rPr>
          <w:rFonts w:eastAsia="Malgun Gothic" w:cs="Batang"/>
          <w:sz w:val="22"/>
          <w:szCs w:val="22"/>
          <w:lang w:eastAsia="en-US"/>
        </w:rPr>
        <w:t>2) are supported as shown below</w:t>
      </w:r>
      <w:r>
        <w:rPr>
          <w:rFonts w:ascii="微軟正黑體" w:eastAsia="微軟正黑體" w:hAnsi="微軟正黑體" w:cs="微軟正黑體" w:hint="eastAsia"/>
          <w:sz w:val="22"/>
          <w:szCs w:val="22"/>
          <w:lang w:eastAsia="zh-TW"/>
        </w:rPr>
        <w:t>:</w:t>
      </w:r>
    </w:p>
    <w:p w:rsidR="00567E0F" w:rsidRDefault="00567E0F" w:rsidP="009C3324">
      <w:pPr>
        <w:spacing w:after="120"/>
        <w:jc w:val="both"/>
        <w:rPr>
          <w:rFonts w:eastAsia="Malgun Gothic" w:cs="Batang"/>
          <w:sz w:val="22"/>
          <w:szCs w:val="22"/>
          <w:lang w:eastAsia="en-US"/>
        </w:rPr>
      </w:pPr>
    </w:p>
    <w:p w:rsidR="00567E0F" w:rsidRDefault="00592C9F" w:rsidP="00592C9F">
      <w:pPr>
        <w:pStyle w:val="TAL"/>
        <w:spacing w:after="0" w:line="240" w:lineRule="auto"/>
        <w:rPr>
          <w:rFonts w:ascii="Times New Roman" w:eastAsia="MS Mincho" w:hAnsi="Times New Roman"/>
          <w:sz w:val="22"/>
        </w:rPr>
      </w:pPr>
      <w:r>
        <w:rPr>
          <w:rFonts w:ascii="Times New Roman" w:eastAsia="MS Mincho" w:hAnsi="Times New Roman"/>
          <w:sz w:val="22"/>
        </w:rPr>
        <w:t>Therefore, f</w:t>
      </w:r>
      <w:r w:rsidR="00567E0F" w:rsidRPr="00FB5FE5">
        <w:rPr>
          <w:rFonts w:ascii="Times New Roman" w:eastAsia="MS Mincho" w:hAnsi="Times New Roman"/>
          <w:sz w:val="22"/>
        </w:rPr>
        <w:t xml:space="preserve">or FG18-1, </w:t>
      </w:r>
      <w:r w:rsidRPr="00592C9F">
        <w:rPr>
          <w:rFonts w:ascii="Times New Roman" w:eastAsia="MS Mincho" w:hAnsi="Times New Roman"/>
          <w:b/>
          <w:sz w:val="22"/>
        </w:rPr>
        <w:t>semi-static</w:t>
      </w:r>
      <w:r w:rsidRPr="00592C9F">
        <w:rPr>
          <w:rFonts w:ascii="Times New Roman" w:eastAsia="MS Mincho" w:hAnsi="Times New Roman"/>
          <w:sz w:val="22"/>
        </w:rPr>
        <w:t xml:space="preserve"> </w:t>
      </w:r>
      <w:r w:rsidR="00AE521C">
        <w:rPr>
          <w:rFonts w:ascii="Times New Roman" w:eastAsia="MS Mincho" w:hAnsi="Times New Roman"/>
          <w:sz w:val="22"/>
        </w:rPr>
        <w:t xml:space="preserve">should be split </w:t>
      </w:r>
      <w:r w:rsidRPr="00592C9F">
        <w:rPr>
          <w:rFonts w:ascii="Times New Roman" w:eastAsia="MS Mincho" w:hAnsi="Times New Roman"/>
          <w:sz w:val="22"/>
        </w:rPr>
        <w:t>in</w:t>
      </w:r>
      <w:r>
        <w:rPr>
          <w:rFonts w:ascii="Times New Roman" w:eastAsia="MS Mincho" w:hAnsi="Times New Roman"/>
          <w:sz w:val="22"/>
        </w:rPr>
        <w:t>to</w:t>
      </w:r>
      <w:r w:rsidRPr="00592C9F">
        <w:rPr>
          <w:rFonts w:ascii="Times New Roman" w:eastAsia="MS Mincho" w:hAnsi="Times New Roman"/>
          <w:sz w:val="22"/>
        </w:rPr>
        <w:t xml:space="preserve"> two modes</w:t>
      </w:r>
      <w:r>
        <w:rPr>
          <w:rFonts w:ascii="Times New Roman" w:eastAsia="MS Mincho" w:hAnsi="Times New Roman"/>
          <w:sz w:val="22"/>
        </w:rPr>
        <w:t xml:space="preserve"> {</w:t>
      </w:r>
      <w:r w:rsidRPr="00592C9F">
        <w:rPr>
          <w:rFonts w:ascii="Times New Roman" w:eastAsia="MS Mincho" w:hAnsi="Times New Roman"/>
          <w:sz w:val="22"/>
        </w:rPr>
        <w:t>semi-static-mode1</w:t>
      </w:r>
      <w:r>
        <w:rPr>
          <w:rFonts w:ascii="Times New Roman" w:eastAsia="MS Mincho" w:hAnsi="Times New Roman"/>
          <w:sz w:val="22"/>
        </w:rPr>
        <w:t xml:space="preserve"> (Alt. 2)</w:t>
      </w:r>
      <w:r w:rsidRPr="00592C9F">
        <w:rPr>
          <w:rFonts w:ascii="Times New Roman" w:eastAsia="MS Mincho" w:hAnsi="Times New Roman"/>
          <w:sz w:val="22"/>
        </w:rPr>
        <w:t>, semi-static-mode2</w:t>
      </w:r>
      <w:r>
        <w:rPr>
          <w:rFonts w:ascii="Times New Roman" w:eastAsia="MS Mincho" w:hAnsi="Times New Roman"/>
          <w:sz w:val="22"/>
        </w:rPr>
        <w:t xml:space="preserve"> (Alt. 1-2)}</w:t>
      </w:r>
      <w:r w:rsidR="002060EB">
        <w:rPr>
          <w:rFonts w:ascii="Times New Roman" w:eastAsia="MS Mincho" w:hAnsi="Times New Roman"/>
          <w:sz w:val="22"/>
        </w:rPr>
        <w:t>,</w:t>
      </w:r>
      <w:r>
        <w:rPr>
          <w:rFonts w:ascii="Times New Roman" w:eastAsia="MS Mincho" w:hAnsi="Times New Roman"/>
          <w:sz w:val="22"/>
        </w:rPr>
        <w:t xml:space="preserve"> and </w:t>
      </w:r>
      <w:r w:rsidR="00567E0F" w:rsidRPr="00592C9F">
        <w:rPr>
          <w:rFonts w:ascii="Times New Roman" w:eastAsia="MS Mincho" w:hAnsi="Times New Roman"/>
          <w:sz w:val="22"/>
        </w:rPr>
        <w:t>UE supporting Rel-16 MR-DC/CA must support semi-static-mode1 and indicate whether it can further support other UL power sharing schemes.</w:t>
      </w:r>
      <w:r>
        <w:rPr>
          <w:rFonts w:ascii="Times New Roman" w:eastAsia="MS Mincho" w:hAnsi="Times New Roman"/>
          <w:sz w:val="22"/>
        </w:rPr>
        <w:t xml:space="preserve"> </w:t>
      </w:r>
      <w:bookmarkStart w:id="0" w:name="_GoBack"/>
      <w:bookmarkEnd w:id="0"/>
    </w:p>
    <w:p w:rsidR="00592C9F" w:rsidRDefault="00592C9F" w:rsidP="00592C9F">
      <w:pPr>
        <w:pStyle w:val="TAL"/>
        <w:spacing w:after="0" w:line="240" w:lineRule="auto"/>
        <w:rPr>
          <w:rFonts w:ascii="Times New Roman" w:eastAsia="MS Mincho" w:hAnsi="Times New Roman"/>
          <w:sz w:val="22"/>
        </w:rPr>
      </w:pPr>
    </w:p>
    <w:p w:rsidR="00AE521C" w:rsidRPr="00AE521C" w:rsidRDefault="0034265E" w:rsidP="00592C9F">
      <w:pPr>
        <w:pStyle w:val="TAL"/>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Proposal 4</w:t>
      </w:r>
      <w:r w:rsidR="00AE521C" w:rsidRPr="00AE521C">
        <w:rPr>
          <w:rFonts w:ascii="Times New Roman" w:hAnsi="Times New Roman" w:cs="Times New Roman"/>
          <w:b/>
          <w:sz w:val="24"/>
          <w:szCs w:val="24"/>
          <w:u w:val="single"/>
        </w:rPr>
        <w:t xml:space="preserve">: </w:t>
      </w:r>
      <w:r w:rsidR="00AE521C">
        <w:rPr>
          <w:rFonts w:ascii="Times New Roman" w:hAnsi="Times New Roman" w:cs="Times New Roman"/>
          <w:b/>
          <w:sz w:val="24"/>
          <w:szCs w:val="24"/>
          <w:u w:val="single"/>
        </w:rPr>
        <w:t>F</w:t>
      </w:r>
      <w:r w:rsidR="00AE521C" w:rsidRPr="00AE521C">
        <w:rPr>
          <w:rFonts w:ascii="Times New Roman" w:hAnsi="Times New Roman" w:cs="Times New Roman"/>
          <w:b/>
          <w:sz w:val="24"/>
          <w:szCs w:val="24"/>
          <w:u w:val="single"/>
        </w:rPr>
        <w:t xml:space="preserve">or FG18-1, </w:t>
      </w:r>
      <w:r w:rsidR="00AE521C">
        <w:rPr>
          <w:rFonts w:ascii="Times New Roman" w:hAnsi="Times New Roman" w:cs="Times New Roman"/>
          <w:b/>
          <w:sz w:val="24"/>
          <w:szCs w:val="24"/>
          <w:u w:val="single"/>
        </w:rPr>
        <w:t>split “</w:t>
      </w:r>
      <w:r w:rsidR="00AE521C" w:rsidRPr="00AE521C">
        <w:rPr>
          <w:rFonts w:ascii="Times New Roman" w:hAnsi="Times New Roman" w:cs="Times New Roman"/>
          <w:b/>
          <w:sz w:val="24"/>
          <w:szCs w:val="24"/>
          <w:u w:val="single"/>
        </w:rPr>
        <w:t>semi-static</w:t>
      </w:r>
      <w:r w:rsidR="00AE521C">
        <w:rPr>
          <w:rFonts w:ascii="Times New Roman" w:hAnsi="Times New Roman" w:cs="Times New Roman"/>
          <w:b/>
          <w:sz w:val="24"/>
          <w:szCs w:val="24"/>
          <w:u w:val="single"/>
        </w:rPr>
        <w:t>”</w:t>
      </w:r>
      <w:r w:rsidR="00AE521C" w:rsidRPr="00AE521C">
        <w:rPr>
          <w:rFonts w:ascii="Times New Roman" w:hAnsi="Times New Roman" w:cs="Times New Roman"/>
          <w:b/>
          <w:sz w:val="24"/>
          <w:szCs w:val="24"/>
          <w:u w:val="single"/>
        </w:rPr>
        <w:t xml:space="preserve"> into two modes {semi-static-mode1 (Alt. 2), semi-static-mode2 (Alt. 1-2)}</w:t>
      </w:r>
      <w:r w:rsidR="00AE521C">
        <w:rPr>
          <w:rFonts w:ascii="Times New Roman" w:hAnsi="Times New Roman" w:cs="Times New Roman"/>
          <w:b/>
          <w:sz w:val="24"/>
          <w:szCs w:val="24"/>
          <w:u w:val="single"/>
        </w:rPr>
        <w:t>,</w:t>
      </w:r>
      <w:r w:rsidR="00AE521C" w:rsidRPr="00AE521C">
        <w:rPr>
          <w:rFonts w:ascii="Times New Roman" w:hAnsi="Times New Roman" w:cs="Times New Roman"/>
          <w:b/>
          <w:sz w:val="24"/>
          <w:szCs w:val="24"/>
          <w:u w:val="single"/>
        </w:rPr>
        <w:t xml:space="preserve"> and UE supporting Rel-16 MR-DC/CA must support semi-static-mode1 and indicate whether it can further support other UL power sharing schemes.</w:t>
      </w:r>
    </w:p>
    <w:p w:rsidR="006D52A1" w:rsidRPr="00E22206" w:rsidRDefault="006D52A1" w:rsidP="00E22206">
      <w:pPr>
        <w:rPr>
          <w:lang w:val="en-GB" w:eastAsia="en-US"/>
        </w:rPr>
      </w:pPr>
    </w:p>
    <w:p w:rsidR="00BB61FF" w:rsidRPr="009F29FB" w:rsidRDefault="00460C54" w:rsidP="00BB61FF">
      <w:pPr>
        <w:pStyle w:val="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t>
      </w:r>
      <w:r w:rsidR="00FE66E5">
        <w:t>we focus on the discussions for d</w:t>
      </w:r>
      <w:r w:rsidR="00FE66E5" w:rsidRPr="00DA4FB3">
        <w:t xml:space="preserve">ynamic </w:t>
      </w:r>
      <w:r w:rsidR="00FE66E5">
        <w:t>power s</w:t>
      </w:r>
      <w:r w:rsidR="00FE66E5" w:rsidRPr="00DA4FB3">
        <w:t>haring for Rel-16 NN-DC</w:t>
      </w:r>
      <w:r w:rsidR="00BB61FF">
        <w:t>:</w:t>
      </w:r>
    </w:p>
    <w:p w:rsidR="00453991" w:rsidRDefault="00453991" w:rsidP="00BB61FF"/>
    <w:p w:rsidR="00453991" w:rsidRPr="001745FE" w:rsidRDefault="00453991" w:rsidP="00453991">
      <w:pPr>
        <w:jc w:val="both"/>
        <w:rPr>
          <w:b/>
          <w:u w:val="single"/>
        </w:rPr>
      </w:pPr>
      <w:r>
        <w:rPr>
          <w:b/>
          <w:u w:val="single"/>
        </w:rPr>
        <w:t>Proposal 1</w:t>
      </w:r>
      <w:r w:rsidRPr="00D569AD">
        <w:rPr>
          <w:b/>
          <w:u w:val="single"/>
        </w:rPr>
        <w:t xml:space="preserve">: </w:t>
      </w:r>
      <w:r w:rsidRPr="001745FE">
        <w:rPr>
          <w:b/>
          <w:u w:val="single"/>
        </w:rPr>
        <w:t>Dynamic power sharing can be configured for synchronous DC scenario only.</w:t>
      </w:r>
    </w:p>
    <w:p w:rsidR="00640AE1" w:rsidRDefault="00640AE1" w:rsidP="00BB61FF"/>
    <w:p w:rsidR="00453991" w:rsidRPr="00453991" w:rsidRDefault="00453991" w:rsidP="00453991">
      <w:pPr>
        <w:jc w:val="both"/>
        <w:rPr>
          <w:b/>
          <w:u w:val="single"/>
        </w:rPr>
      </w:pPr>
      <w:r>
        <w:rPr>
          <w:b/>
          <w:u w:val="single"/>
        </w:rPr>
        <w:t>Proposal 2</w:t>
      </w:r>
      <w:r w:rsidRPr="007056B8">
        <w:rPr>
          <w:b/>
          <w:u w:val="single"/>
        </w:rPr>
        <w:t>: For CGs of dif</w:t>
      </w:r>
      <w:r>
        <w:rPr>
          <w:b/>
          <w:u w:val="single"/>
        </w:rPr>
        <w:t xml:space="preserve">ferent SCS in the same FR, let </w:t>
      </w:r>
      <w:r w:rsidRPr="00442E22">
        <w:rPr>
          <w:b/>
          <w:bCs/>
          <w:u w:val="single"/>
        </w:rPr>
        <w:t xml:space="preserve">Toffset </w:t>
      </w:r>
      <w:r w:rsidRPr="00442E22">
        <w:rPr>
          <w:b/>
          <w:u w:val="single"/>
        </w:rPr>
        <w:t>= max</w:t>
      </w:r>
      <w:r w:rsidRPr="00442E22">
        <w:rPr>
          <w:b/>
          <w:u w:val="single"/>
          <w:vertAlign w:val="subscript"/>
        </w:rPr>
        <w:t>i</w:t>
      </w:r>
      <w:r w:rsidRPr="00442E22">
        <w:rPr>
          <w:b/>
          <w:u w:val="single"/>
        </w:rPr>
        <w:t>{</w:t>
      </w:r>
      <w:r w:rsidRPr="00442E22">
        <w:rPr>
          <w:rFonts w:eastAsia="MS PGothic"/>
          <w:b/>
          <w:color w:val="000000"/>
          <w:u w:val="single"/>
        </w:rPr>
        <w:t>T_proc,2,i</w:t>
      </w:r>
      <w:r w:rsidRPr="00442E22">
        <w:rPr>
          <w:b/>
          <w:u w:val="single"/>
        </w:rPr>
        <w:t xml:space="preserve">}, where </w:t>
      </w:r>
      <w:r w:rsidRPr="00442E22">
        <w:rPr>
          <w:rFonts w:eastAsia="MS PGothic"/>
          <w:b/>
          <w:color w:val="000000"/>
          <w:u w:val="single"/>
        </w:rPr>
        <w:t>T_proc,2,i</w:t>
      </w:r>
      <w:r w:rsidRPr="00442E22">
        <w:rPr>
          <w:b/>
          <w:u w:val="single"/>
        </w:rPr>
        <w:t xml:space="preserve"> means </w:t>
      </w:r>
      <w:r w:rsidRPr="00442E22">
        <w:rPr>
          <w:rFonts w:eastAsia="MS PGothic"/>
          <w:b/>
          <w:color w:val="000000"/>
          <w:u w:val="single"/>
        </w:rPr>
        <w:t>T_proc,2</w:t>
      </w:r>
      <w:r w:rsidRPr="00442E22">
        <w:rPr>
          <w:b/>
          <w:u w:val="single"/>
        </w:rPr>
        <w:t xml:space="preserve"> of the i-th carrier</w:t>
      </w:r>
      <w:r>
        <w:rPr>
          <w:b/>
          <w:u w:val="single"/>
        </w:rPr>
        <w:t>, or larger, and apply the same Toffset for all carriers, for the look-ahead operation of dynamic power sharing</w:t>
      </w:r>
      <w:r w:rsidRPr="007056B8">
        <w:rPr>
          <w:b/>
          <w:bCs/>
          <w:u w:val="single"/>
        </w:rPr>
        <w:t>.</w:t>
      </w:r>
    </w:p>
    <w:p w:rsidR="00453991" w:rsidRDefault="00453991" w:rsidP="00453991">
      <w:pPr>
        <w:jc w:val="both"/>
        <w:rPr>
          <w:b/>
          <w:iCs/>
        </w:rPr>
      </w:pPr>
    </w:p>
    <w:p w:rsidR="00453991" w:rsidRDefault="00453991" w:rsidP="00453991">
      <w:pPr>
        <w:jc w:val="both"/>
        <w:rPr>
          <w:b/>
          <w:u w:val="single"/>
        </w:rPr>
      </w:pPr>
      <w:r>
        <w:rPr>
          <w:b/>
          <w:u w:val="single"/>
        </w:rPr>
        <w:lastRenderedPageBreak/>
        <w:t>Proposal 3</w:t>
      </w:r>
      <w:r w:rsidRPr="007056B8">
        <w:rPr>
          <w:b/>
          <w:u w:val="single"/>
        </w:rPr>
        <w:t>:</w:t>
      </w:r>
      <w:r>
        <w:rPr>
          <w:b/>
          <w:u w:val="single"/>
        </w:rPr>
        <w:t xml:space="preserve"> Clarify </w:t>
      </w:r>
      <w:r w:rsidRPr="0034265E">
        <w:rPr>
          <w:b/>
          <w:u w:val="single"/>
        </w:rPr>
        <w:t>the corresponding UE behavior of dynamic power sharing without “look-ahead” operation for NN DC UL power control</w:t>
      </w:r>
      <w:r>
        <w:rPr>
          <w:b/>
          <w:u w:val="single"/>
        </w:rPr>
        <w:t xml:space="preserve"> between the two following options:</w:t>
      </w:r>
    </w:p>
    <w:p w:rsidR="00453991" w:rsidRPr="0034265E" w:rsidRDefault="00453991" w:rsidP="00453991">
      <w:pPr>
        <w:pStyle w:val="a4"/>
        <w:numPr>
          <w:ilvl w:val="0"/>
          <w:numId w:val="29"/>
        </w:numPr>
        <w:jc w:val="both"/>
        <w:rPr>
          <w:b/>
          <w:u w:val="single"/>
        </w:rPr>
      </w:pPr>
      <w:r w:rsidRPr="0034265E">
        <w:rPr>
          <w:b/>
          <w:u w:val="single"/>
        </w:rPr>
        <w:t>Option 1: For each CG, UE determines the transmission power of one UL transmission according to the CG power prioritization at the same time when UE received the corresponding scheduling DCI.</w:t>
      </w:r>
    </w:p>
    <w:p w:rsidR="00453991" w:rsidRPr="0034265E" w:rsidRDefault="00453991" w:rsidP="00453991">
      <w:pPr>
        <w:pStyle w:val="a4"/>
        <w:numPr>
          <w:ilvl w:val="0"/>
          <w:numId w:val="29"/>
        </w:numPr>
        <w:jc w:val="both"/>
        <w:rPr>
          <w:b/>
          <w:u w:val="single"/>
        </w:rPr>
      </w:pPr>
      <w:r w:rsidRPr="0034265E">
        <w:rPr>
          <w:b/>
          <w:u w:val="single"/>
        </w:rPr>
        <w:t xml:space="preserve">Option 2: For each CG, UE determines the transmission power of one UL transmission according to the CG power prioritization in every symbol of transmission occasion </w:t>
      </w:r>
      <w:r w:rsidRPr="0034265E">
        <w:rPr>
          <w:b/>
          <w:i/>
          <w:u w:val="single"/>
        </w:rPr>
        <w:t>i</w:t>
      </w:r>
      <w:r w:rsidRPr="0034265E">
        <w:rPr>
          <w:b/>
          <w:u w:val="single"/>
        </w:rPr>
        <w:t xml:space="preserve">. When determining a total transmit power for serving cells in a frequency range in a symbol of transmission occasion </w:t>
      </w:r>
      <w:r w:rsidRPr="0034265E">
        <w:rPr>
          <w:b/>
          <w:i/>
          <w:u w:val="single"/>
        </w:rPr>
        <w:t>i</w:t>
      </w:r>
      <w:r w:rsidRPr="0034265E">
        <w:rPr>
          <w:b/>
          <w:u w:val="single"/>
        </w:rPr>
        <w:t xml:space="preserve">, the UE does not include power for transmissions starting after the symbol of transmission occasion </w:t>
      </w:r>
      <w:r w:rsidRPr="0034265E">
        <w:rPr>
          <w:b/>
          <w:i/>
          <w:u w:val="single"/>
        </w:rPr>
        <w:t>i</w:t>
      </w:r>
      <w:r w:rsidRPr="0034265E">
        <w:rPr>
          <w:b/>
          <w:u w:val="single"/>
        </w:rPr>
        <w:t xml:space="preserve">. </w:t>
      </w:r>
      <w:r w:rsidRPr="0034265E">
        <w:rPr>
          <w:b/>
          <w:iCs/>
          <w:u w:val="single"/>
        </w:rPr>
        <w:t xml:space="preserve">A transmission occasion </w:t>
      </w:r>
      <w:r w:rsidRPr="0034265E">
        <w:rPr>
          <w:b/>
          <w:i/>
          <w:iCs/>
          <w:u w:val="single"/>
        </w:rPr>
        <w:t>i</w:t>
      </w:r>
      <w:r w:rsidRPr="0034265E">
        <w:rPr>
          <w:b/>
          <w:iCs/>
          <w:u w:val="single"/>
        </w:rPr>
        <w:t xml:space="preserve"> is defined by a slot index</w:t>
      </w:r>
      <w:r w:rsidRPr="0034265E">
        <w:rPr>
          <w:b/>
          <w:u w:val="single"/>
        </w:rPr>
        <w:t xml:space="preserve"> </w:t>
      </w:r>
      <w:r w:rsidRPr="0034265E">
        <w:rPr>
          <w:b/>
          <w:position w:val="-12"/>
          <w:u w:val="single"/>
        </w:rPr>
        <w:object w:dxaOrig="320" w:dyaOrig="360">
          <v:shape id="_x0000_i1032" type="#_x0000_t75" style="width:16.75pt;height:21.75pt" o:ole="">
            <v:imagedata r:id="rId14" o:title=""/>
          </v:shape>
          <o:OLEObject Type="Embed" ProgID="Equation.3" ShapeID="_x0000_i1032" DrawAspect="Content" ObjectID="_1643212466" r:id="rId23"/>
        </w:object>
      </w:r>
      <w:r w:rsidRPr="0034265E">
        <w:rPr>
          <w:b/>
          <w:u w:val="single"/>
        </w:rPr>
        <w:t xml:space="preserve"> within a frame with system frame number</w:t>
      </w:r>
      <w:r w:rsidRPr="0034265E">
        <w:rPr>
          <w:b/>
          <w:iCs/>
          <w:u w:val="single"/>
        </w:rPr>
        <w:t xml:space="preserve"> </w:t>
      </w:r>
      <w:r w:rsidRPr="0034265E">
        <w:rPr>
          <w:b/>
          <w:i/>
          <w:iCs/>
          <w:u w:val="single"/>
        </w:rPr>
        <w:t>SFN</w:t>
      </w:r>
      <w:r w:rsidRPr="0034265E">
        <w:rPr>
          <w:b/>
          <w:u w:val="single"/>
        </w:rPr>
        <w:t xml:space="preserve">, a first symbol </w:t>
      </w:r>
      <w:r w:rsidRPr="0034265E">
        <w:rPr>
          <w:b/>
          <w:iCs/>
          <w:position w:val="-6"/>
          <w:u w:val="single"/>
        </w:rPr>
        <w:object w:dxaOrig="200" w:dyaOrig="240">
          <v:shape id="_x0000_i1033" type="#_x0000_t75" style="width:10pt;height:12.5pt" o:ole="">
            <v:imagedata r:id="rId16" o:title=""/>
          </v:shape>
          <o:OLEObject Type="Embed" ProgID="Equation.3" ShapeID="_x0000_i1033" DrawAspect="Content" ObjectID="_1643212467" r:id="rId24"/>
        </w:object>
      </w:r>
      <w:r w:rsidRPr="0034265E">
        <w:rPr>
          <w:b/>
          <w:u w:val="single"/>
        </w:rPr>
        <w:t xml:space="preserve"> within the slot, and a number of consecutive symbols </w:t>
      </w:r>
      <w:r w:rsidRPr="0034265E">
        <w:rPr>
          <w:b/>
          <w:iCs/>
          <w:position w:val="-4"/>
          <w:u w:val="single"/>
        </w:rPr>
        <w:object w:dxaOrig="200" w:dyaOrig="220">
          <v:shape id="_x0000_i1034" type="#_x0000_t75" style="width:8.2pt;height:12.5pt" o:ole="">
            <v:imagedata r:id="rId18" o:title=""/>
          </v:shape>
          <o:OLEObject Type="Embed" ProgID="Equation.3" ShapeID="_x0000_i1034" DrawAspect="Content" ObjectID="_1643212468" r:id="rId25"/>
        </w:object>
      </w:r>
      <w:r w:rsidRPr="0034265E">
        <w:rPr>
          <w:b/>
          <w:iCs/>
          <w:u w:val="single"/>
        </w:rPr>
        <w:t>. (Reusing the power control scheme of CA).</w:t>
      </w:r>
    </w:p>
    <w:p w:rsidR="0034265E" w:rsidRDefault="0034265E" w:rsidP="00BB61FF"/>
    <w:p w:rsidR="00453991" w:rsidRPr="00AE521C" w:rsidRDefault="00453991" w:rsidP="00453991">
      <w:pPr>
        <w:pStyle w:val="TAL"/>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Proposal 4</w:t>
      </w:r>
      <w:r w:rsidRPr="00AE521C">
        <w:rPr>
          <w:rFonts w:ascii="Times New Roman" w:hAnsi="Times New Roman" w:cs="Times New Roman"/>
          <w:b/>
          <w:sz w:val="24"/>
          <w:szCs w:val="24"/>
          <w:u w:val="single"/>
        </w:rPr>
        <w:t xml:space="preserve">: </w:t>
      </w:r>
      <w:r>
        <w:rPr>
          <w:rFonts w:ascii="Times New Roman" w:hAnsi="Times New Roman" w:cs="Times New Roman"/>
          <w:b/>
          <w:sz w:val="24"/>
          <w:szCs w:val="24"/>
          <w:u w:val="single"/>
        </w:rPr>
        <w:t>F</w:t>
      </w:r>
      <w:r w:rsidRPr="00AE521C">
        <w:rPr>
          <w:rFonts w:ascii="Times New Roman" w:hAnsi="Times New Roman" w:cs="Times New Roman"/>
          <w:b/>
          <w:sz w:val="24"/>
          <w:szCs w:val="24"/>
          <w:u w:val="single"/>
        </w:rPr>
        <w:t xml:space="preserve">or FG18-1, </w:t>
      </w:r>
      <w:r>
        <w:rPr>
          <w:rFonts w:ascii="Times New Roman" w:hAnsi="Times New Roman" w:cs="Times New Roman"/>
          <w:b/>
          <w:sz w:val="24"/>
          <w:szCs w:val="24"/>
          <w:u w:val="single"/>
        </w:rPr>
        <w:t>split “</w:t>
      </w:r>
      <w:r w:rsidRPr="00AE521C">
        <w:rPr>
          <w:rFonts w:ascii="Times New Roman" w:hAnsi="Times New Roman" w:cs="Times New Roman"/>
          <w:b/>
          <w:sz w:val="24"/>
          <w:szCs w:val="24"/>
          <w:u w:val="single"/>
        </w:rPr>
        <w:t>semi-static</w:t>
      </w:r>
      <w:r>
        <w:rPr>
          <w:rFonts w:ascii="Times New Roman" w:hAnsi="Times New Roman" w:cs="Times New Roman"/>
          <w:b/>
          <w:sz w:val="24"/>
          <w:szCs w:val="24"/>
          <w:u w:val="single"/>
        </w:rPr>
        <w:t>”</w:t>
      </w:r>
      <w:r w:rsidRPr="00AE521C">
        <w:rPr>
          <w:rFonts w:ascii="Times New Roman" w:hAnsi="Times New Roman" w:cs="Times New Roman"/>
          <w:b/>
          <w:sz w:val="24"/>
          <w:szCs w:val="24"/>
          <w:u w:val="single"/>
        </w:rPr>
        <w:t xml:space="preserve"> into two modes {semi-static-mode1 (Alt. 2), semi-static-mode2 (Alt. 1-2)}</w:t>
      </w:r>
      <w:r>
        <w:rPr>
          <w:rFonts w:ascii="Times New Roman" w:hAnsi="Times New Roman" w:cs="Times New Roman"/>
          <w:b/>
          <w:sz w:val="24"/>
          <w:szCs w:val="24"/>
          <w:u w:val="single"/>
        </w:rPr>
        <w:t>,</w:t>
      </w:r>
      <w:r w:rsidRPr="00AE521C">
        <w:rPr>
          <w:rFonts w:ascii="Times New Roman" w:hAnsi="Times New Roman" w:cs="Times New Roman"/>
          <w:b/>
          <w:sz w:val="24"/>
          <w:szCs w:val="24"/>
          <w:u w:val="single"/>
        </w:rPr>
        <w:t xml:space="preserve"> and UE supporting Rel-16 MR-DC/CA must support semi-static-mode1 and indicate whether it can further support other UL power sharing schemes.</w:t>
      </w:r>
    </w:p>
    <w:p w:rsidR="00453991" w:rsidRDefault="00453991" w:rsidP="00BB61FF"/>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6C1ACD" w:rsidRPr="006C1ACD" w:rsidRDefault="006C1ACD" w:rsidP="006C1ACD">
      <w:pPr>
        <w:pStyle w:val="References"/>
        <w:rPr>
          <w:lang w:val="en-GB"/>
        </w:rPr>
      </w:pPr>
      <w:r>
        <w:rPr>
          <w:lang w:val="en-GB"/>
        </w:rPr>
        <w:t>Chairman’s Notes, RAN1 #98-bis</w:t>
      </w:r>
      <w:r w:rsidRPr="00FC4BFD">
        <w:rPr>
          <w:lang w:val="en-GB"/>
        </w:rPr>
        <w:t>.</w:t>
      </w:r>
    </w:p>
    <w:p w:rsidR="00D31B4A" w:rsidRDefault="00902E64" w:rsidP="00401797">
      <w:pPr>
        <w:pStyle w:val="References"/>
        <w:rPr>
          <w:lang w:val="en-GB"/>
        </w:rPr>
      </w:pPr>
      <w:r>
        <w:rPr>
          <w:lang w:val="en-GB"/>
        </w:rPr>
        <w:t>Chairman’s Notes, RAN1 #99</w:t>
      </w:r>
      <w:r w:rsidR="00E5123C" w:rsidRPr="00FC4BFD">
        <w:rPr>
          <w:lang w:val="en-GB"/>
        </w:rPr>
        <w:t>.</w:t>
      </w:r>
    </w:p>
    <w:p w:rsidR="00E83451" w:rsidRPr="004D0D1D" w:rsidRDefault="00442E22" w:rsidP="00E83451">
      <w:pPr>
        <w:pStyle w:val="References"/>
      </w:pPr>
      <w:r>
        <w:rPr>
          <w:rFonts w:hint="eastAsia"/>
        </w:rPr>
        <w:t>3GPP TS 38.214</w:t>
      </w:r>
      <w:r w:rsidR="00E83451">
        <w:rPr>
          <w:rFonts w:hint="eastAsia"/>
        </w:rPr>
        <w:t>, Physi</w:t>
      </w:r>
      <w:r>
        <w:rPr>
          <w:rFonts w:hint="eastAsia"/>
        </w:rPr>
        <w:t>cal layer procedures for data</w:t>
      </w:r>
    </w:p>
    <w:p w:rsidR="00E83451" w:rsidRPr="00401797" w:rsidRDefault="00E83451" w:rsidP="00E83451">
      <w:pPr>
        <w:pStyle w:val="References"/>
        <w:numPr>
          <w:ilvl w:val="0"/>
          <w:numId w:val="0"/>
        </w:numPr>
        <w:rPr>
          <w:lang w:val="en-GB"/>
        </w:rPr>
      </w:pPr>
    </w:p>
    <w:sectPr w:rsidR="00E83451" w:rsidRPr="00401797"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44E" w:rsidRDefault="00B2244E" w:rsidP="007003B8">
      <w:r>
        <w:separator/>
      </w:r>
    </w:p>
  </w:endnote>
  <w:endnote w:type="continuationSeparator" w:id="0">
    <w:p w:rsidR="00B2244E" w:rsidRDefault="00B2244E"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微軟正黑體">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44E" w:rsidRDefault="00B2244E" w:rsidP="007003B8">
      <w:r>
        <w:separator/>
      </w:r>
    </w:p>
  </w:footnote>
  <w:footnote w:type="continuationSeparator" w:id="0">
    <w:p w:rsidR="00B2244E" w:rsidRDefault="00B2244E"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29A"/>
    <w:multiLevelType w:val="hybridMultilevel"/>
    <w:tmpl w:val="DF0E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83DAA"/>
    <w:multiLevelType w:val="hybridMultilevel"/>
    <w:tmpl w:val="B86CB022"/>
    <w:lvl w:ilvl="0" w:tplc="8056F7BE">
      <w:start w:val="1"/>
      <w:numFmt w:val="bullet"/>
      <w:lvlText w:val="•"/>
      <w:lvlJc w:val="left"/>
      <w:pPr>
        <w:tabs>
          <w:tab w:val="num" w:pos="720"/>
        </w:tabs>
        <w:ind w:left="720" w:hanging="360"/>
      </w:pPr>
      <w:rPr>
        <w:rFonts w:ascii="Arial" w:hAnsi="Arial" w:hint="default"/>
      </w:rPr>
    </w:lvl>
    <w:lvl w:ilvl="1" w:tplc="C3F0523C" w:tentative="1">
      <w:start w:val="1"/>
      <w:numFmt w:val="bullet"/>
      <w:lvlText w:val="•"/>
      <w:lvlJc w:val="left"/>
      <w:pPr>
        <w:tabs>
          <w:tab w:val="num" w:pos="1440"/>
        </w:tabs>
        <w:ind w:left="1440" w:hanging="360"/>
      </w:pPr>
      <w:rPr>
        <w:rFonts w:ascii="Arial" w:hAnsi="Arial" w:hint="default"/>
      </w:rPr>
    </w:lvl>
    <w:lvl w:ilvl="2" w:tplc="297013FA" w:tentative="1">
      <w:start w:val="1"/>
      <w:numFmt w:val="bullet"/>
      <w:lvlText w:val="•"/>
      <w:lvlJc w:val="left"/>
      <w:pPr>
        <w:tabs>
          <w:tab w:val="num" w:pos="2160"/>
        </w:tabs>
        <w:ind w:left="2160" w:hanging="360"/>
      </w:pPr>
      <w:rPr>
        <w:rFonts w:ascii="Arial" w:hAnsi="Arial" w:hint="default"/>
      </w:rPr>
    </w:lvl>
    <w:lvl w:ilvl="3" w:tplc="B50E5768" w:tentative="1">
      <w:start w:val="1"/>
      <w:numFmt w:val="bullet"/>
      <w:lvlText w:val="•"/>
      <w:lvlJc w:val="left"/>
      <w:pPr>
        <w:tabs>
          <w:tab w:val="num" w:pos="2880"/>
        </w:tabs>
        <w:ind w:left="2880" w:hanging="360"/>
      </w:pPr>
      <w:rPr>
        <w:rFonts w:ascii="Arial" w:hAnsi="Arial" w:hint="default"/>
      </w:rPr>
    </w:lvl>
    <w:lvl w:ilvl="4" w:tplc="9BC8CA6E" w:tentative="1">
      <w:start w:val="1"/>
      <w:numFmt w:val="bullet"/>
      <w:lvlText w:val="•"/>
      <w:lvlJc w:val="left"/>
      <w:pPr>
        <w:tabs>
          <w:tab w:val="num" w:pos="3600"/>
        </w:tabs>
        <w:ind w:left="3600" w:hanging="360"/>
      </w:pPr>
      <w:rPr>
        <w:rFonts w:ascii="Arial" w:hAnsi="Arial" w:hint="default"/>
      </w:rPr>
    </w:lvl>
    <w:lvl w:ilvl="5" w:tplc="8ADE1186" w:tentative="1">
      <w:start w:val="1"/>
      <w:numFmt w:val="bullet"/>
      <w:lvlText w:val="•"/>
      <w:lvlJc w:val="left"/>
      <w:pPr>
        <w:tabs>
          <w:tab w:val="num" w:pos="4320"/>
        </w:tabs>
        <w:ind w:left="4320" w:hanging="360"/>
      </w:pPr>
      <w:rPr>
        <w:rFonts w:ascii="Arial" w:hAnsi="Arial" w:hint="default"/>
      </w:rPr>
    </w:lvl>
    <w:lvl w:ilvl="6" w:tplc="BCD6D59E" w:tentative="1">
      <w:start w:val="1"/>
      <w:numFmt w:val="bullet"/>
      <w:lvlText w:val="•"/>
      <w:lvlJc w:val="left"/>
      <w:pPr>
        <w:tabs>
          <w:tab w:val="num" w:pos="5040"/>
        </w:tabs>
        <w:ind w:left="5040" w:hanging="360"/>
      </w:pPr>
      <w:rPr>
        <w:rFonts w:ascii="Arial" w:hAnsi="Arial" w:hint="default"/>
      </w:rPr>
    </w:lvl>
    <w:lvl w:ilvl="7" w:tplc="8C46D040" w:tentative="1">
      <w:start w:val="1"/>
      <w:numFmt w:val="bullet"/>
      <w:lvlText w:val="•"/>
      <w:lvlJc w:val="left"/>
      <w:pPr>
        <w:tabs>
          <w:tab w:val="num" w:pos="5760"/>
        </w:tabs>
        <w:ind w:left="5760" w:hanging="360"/>
      </w:pPr>
      <w:rPr>
        <w:rFonts w:ascii="Arial" w:hAnsi="Arial" w:hint="default"/>
      </w:rPr>
    </w:lvl>
    <w:lvl w:ilvl="8" w:tplc="AEF0B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4" w15:restartNumberingAfterBreak="0">
    <w:nsid w:val="14A815A2"/>
    <w:multiLevelType w:val="hybridMultilevel"/>
    <w:tmpl w:val="4A4A83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09688E"/>
    <w:multiLevelType w:val="hybridMultilevel"/>
    <w:tmpl w:val="A8B48262"/>
    <w:lvl w:ilvl="0" w:tplc="0409000F">
      <w:start w:val="1"/>
      <w:numFmt w:val="decimal"/>
      <w:lvlText w:val="%1."/>
      <w:lvlJc w:val="left"/>
      <w:pPr>
        <w:ind w:left="765" w:hanging="360"/>
      </w:pPr>
      <w:rPr>
        <w:rFonts w:cs="Times New Roman"/>
      </w:rPr>
    </w:lvl>
    <w:lvl w:ilvl="1" w:tplc="04090017">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6"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9"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B7B5C"/>
    <w:multiLevelType w:val="multilevel"/>
    <w:tmpl w:val="6B26F2F0"/>
    <w:lvl w:ilvl="0">
      <w:start w:val="1"/>
      <w:numFmt w:val="bullet"/>
      <w:lvlText w:val=""/>
      <w:lvlJc w:val="left"/>
      <w:pPr>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A10FBC"/>
    <w:multiLevelType w:val="multilevel"/>
    <w:tmpl w:val="6B26F2F0"/>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35B76FF0"/>
    <w:multiLevelType w:val="hybridMultilevel"/>
    <w:tmpl w:val="4A5AB322"/>
    <w:lvl w:ilvl="0" w:tplc="9F74A0EC">
      <w:start w:val="1"/>
      <w:numFmt w:val="bullet"/>
      <w:lvlText w:val="–"/>
      <w:lvlJc w:val="left"/>
      <w:pPr>
        <w:tabs>
          <w:tab w:val="num" w:pos="720"/>
        </w:tabs>
        <w:ind w:left="720" w:hanging="360"/>
      </w:pPr>
      <w:rPr>
        <w:rFonts w:ascii="Calibri Light" w:hAnsi="Calibri Light" w:hint="default"/>
      </w:rPr>
    </w:lvl>
    <w:lvl w:ilvl="1" w:tplc="03D431A8">
      <w:start w:val="1"/>
      <w:numFmt w:val="bullet"/>
      <w:lvlText w:val="–"/>
      <w:lvlJc w:val="left"/>
      <w:pPr>
        <w:tabs>
          <w:tab w:val="num" w:pos="1440"/>
        </w:tabs>
        <w:ind w:left="1440" w:hanging="360"/>
      </w:pPr>
      <w:rPr>
        <w:rFonts w:ascii="Calibri Light" w:hAnsi="Calibri Light" w:hint="default"/>
      </w:rPr>
    </w:lvl>
    <w:lvl w:ilvl="2" w:tplc="6E72841A" w:tentative="1">
      <w:start w:val="1"/>
      <w:numFmt w:val="bullet"/>
      <w:lvlText w:val="–"/>
      <w:lvlJc w:val="left"/>
      <w:pPr>
        <w:tabs>
          <w:tab w:val="num" w:pos="2160"/>
        </w:tabs>
        <w:ind w:left="2160" w:hanging="360"/>
      </w:pPr>
      <w:rPr>
        <w:rFonts w:ascii="Calibri Light" w:hAnsi="Calibri Light" w:hint="default"/>
      </w:rPr>
    </w:lvl>
    <w:lvl w:ilvl="3" w:tplc="4C3E4040" w:tentative="1">
      <w:start w:val="1"/>
      <w:numFmt w:val="bullet"/>
      <w:lvlText w:val="–"/>
      <w:lvlJc w:val="left"/>
      <w:pPr>
        <w:tabs>
          <w:tab w:val="num" w:pos="2880"/>
        </w:tabs>
        <w:ind w:left="2880" w:hanging="360"/>
      </w:pPr>
      <w:rPr>
        <w:rFonts w:ascii="Calibri Light" w:hAnsi="Calibri Light" w:hint="default"/>
      </w:rPr>
    </w:lvl>
    <w:lvl w:ilvl="4" w:tplc="37D67BE0" w:tentative="1">
      <w:start w:val="1"/>
      <w:numFmt w:val="bullet"/>
      <w:lvlText w:val="–"/>
      <w:lvlJc w:val="left"/>
      <w:pPr>
        <w:tabs>
          <w:tab w:val="num" w:pos="3600"/>
        </w:tabs>
        <w:ind w:left="3600" w:hanging="360"/>
      </w:pPr>
      <w:rPr>
        <w:rFonts w:ascii="Calibri Light" w:hAnsi="Calibri Light" w:hint="default"/>
      </w:rPr>
    </w:lvl>
    <w:lvl w:ilvl="5" w:tplc="CC30E6CC" w:tentative="1">
      <w:start w:val="1"/>
      <w:numFmt w:val="bullet"/>
      <w:lvlText w:val="–"/>
      <w:lvlJc w:val="left"/>
      <w:pPr>
        <w:tabs>
          <w:tab w:val="num" w:pos="4320"/>
        </w:tabs>
        <w:ind w:left="4320" w:hanging="360"/>
      </w:pPr>
      <w:rPr>
        <w:rFonts w:ascii="Calibri Light" w:hAnsi="Calibri Light" w:hint="default"/>
      </w:rPr>
    </w:lvl>
    <w:lvl w:ilvl="6" w:tplc="A1CCA668" w:tentative="1">
      <w:start w:val="1"/>
      <w:numFmt w:val="bullet"/>
      <w:lvlText w:val="–"/>
      <w:lvlJc w:val="left"/>
      <w:pPr>
        <w:tabs>
          <w:tab w:val="num" w:pos="5040"/>
        </w:tabs>
        <w:ind w:left="5040" w:hanging="360"/>
      </w:pPr>
      <w:rPr>
        <w:rFonts w:ascii="Calibri Light" w:hAnsi="Calibri Light" w:hint="default"/>
      </w:rPr>
    </w:lvl>
    <w:lvl w:ilvl="7" w:tplc="4D6EFF18" w:tentative="1">
      <w:start w:val="1"/>
      <w:numFmt w:val="bullet"/>
      <w:lvlText w:val="–"/>
      <w:lvlJc w:val="left"/>
      <w:pPr>
        <w:tabs>
          <w:tab w:val="num" w:pos="5760"/>
        </w:tabs>
        <w:ind w:left="5760" w:hanging="360"/>
      </w:pPr>
      <w:rPr>
        <w:rFonts w:ascii="Calibri Light" w:hAnsi="Calibri Light" w:hint="default"/>
      </w:rPr>
    </w:lvl>
    <w:lvl w:ilvl="8" w:tplc="09BE3860"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B239B7"/>
    <w:multiLevelType w:val="hybridMultilevel"/>
    <w:tmpl w:val="A1F6D08C"/>
    <w:lvl w:ilvl="0" w:tplc="27707BCA">
      <w:start w:val="1"/>
      <w:numFmt w:val="bullet"/>
      <w:lvlText w:val="•"/>
      <w:lvlJc w:val="left"/>
      <w:pPr>
        <w:tabs>
          <w:tab w:val="num" w:pos="720"/>
        </w:tabs>
        <w:ind w:left="720" w:hanging="360"/>
      </w:pPr>
      <w:rPr>
        <w:rFonts w:ascii="Arial" w:hAnsi="Arial" w:hint="default"/>
      </w:rPr>
    </w:lvl>
    <w:lvl w:ilvl="1" w:tplc="94EE0804" w:tentative="1">
      <w:start w:val="1"/>
      <w:numFmt w:val="bullet"/>
      <w:lvlText w:val="•"/>
      <w:lvlJc w:val="left"/>
      <w:pPr>
        <w:tabs>
          <w:tab w:val="num" w:pos="1440"/>
        </w:tabs>
        <w:ind w:left="1440" w:hanging="360"/>
      </w:pPr>
      <w:rPr>
        <w:rFonts w:ascii="Arial" w:hAnsi="Arial" w:hint="default"/>
      </w:rPr>
    </w:lvl>
    <w:lvl w:ilvl="2" w:tplc="FF9CCF18" w:tentative="1">
      <w:start w:val="1"/>
      <w:numFmt w:val="bullet"/>
      <w:lvlText w:val="•"/>
      <w:lvlJc w:val="left"/>
      <w:pPr>
        <w:tabs>
          <w:tab w:val="num" w:pos="2160"/>
        </w:tabs>
        <w:ind w:left="2160" w:hanging="360"/>
      </w:pPr>
      <w:rPr>
        <w:rFonts w:ascii="Arial" w:hAnsi="Arial" w:hint="default"/>
      </w:rPr>
    </w:lvl>
    <w:lvl w:ilvl="3" w:tplc="6D24775C" w:tentative="1">
      <w:start w:val="1"/>
      <w:numFmt w:val="bullet"/>
      <w:lvlText w:val="•"/>
      <w:lvlJc w:val="left"/>
      <w:pPr>
        <w:tabs>
          <w:tab w:val="num" w:pos="2880"/>
        </w:tabs>
        <w:ind w:left="2880" w:hanging="360"/>
      </w:pPr>
      <w:rPr>
        <w:rFonts w:ascii="Arial" w:hAnsi="Arial" w:hint="default"/>
      </w:rPr>
    </w:lvl>
    <w:lvl w:ilvl="4" w:tplc="68DAEB6A" w:tentative="1">
      <w:start w:val="1"/>
      <w:numFmt w:val="bullet"/>
      <w:lvlText w:val="•"/>
      <w:lvlJc w:val="left"/>
      <w:pPr>
        <w:tabs>
          <w:tab w:val="num" w:pos="3600"/>
        </w:tabs>
        <w:ind w:left="3600" w:hanging="360"/>
      </w:pPr>
      <w:rPr>
        <w:rFonts w:ascii="Arial" w:hAnsi="Arial" w:hint="default"/>
      </w:rPr>
    </w:lvl>
    <w:lvl w:ilvl="5" w:tplc="D5720E9A" w:tentative="1">
      <w:start w:val="1"/>
      <w:numFmt w:val="bullet"/>
      <w:lvlText w:val="•"/>
      <w:lvlJc w:val="left"/>
      <w:pPr>
        <w:tabs>
          <w:tab w:val="num" w:pos="4320"/>
        </w:tabs>
        <w:ind w:left="4320" w:hanging="360"/>
      </w:pPr>
      <w:rPr>
        <w:rFonts w:ascii="Arial" w:hAnsi="Arial" w:hint="default"/>
      </w:rPr>
    </w:lvl>
    <w:lvl w:ilvl="6" w:tplc="84A09110" w:tentative="1">
      <w:start w:val="1"/>
      <w:numFmt w:val="bullet"/>
      <w:lvlText w:val="•"/>
      <w:lvlJc w:val="left"/>
      <w:pPr>
        <w:tabs>
          <w:tab w:val="num" w:pos="5040"/>
        </w:tabs>
        <w:ind w:left="5040" w:hanging="360"/>
      </w:pPr>
      <w:rPr>
        <w:rFonts w:ascii="Arial" w:hAnsi="Arial" w:hint="default"/>
      </w:rPr>
    </w:lvl>
    <w:lvl w:ilvl="7" w:tplc="A364B520" w:tentative="1">
      <w:start w:val="1"/>
      <w:numFmt w:val="bullet"/>
      <w:lvlText w:val="•"/>
      <w:lvlJc w:val="left"/>
      <w:pPr>
        <w:tabs>
          <w:tab w:val="num" w:pos="5760"/>
        </w:tabs>
        <w:ind w:left="5760" w:hanging="360"/>
      </w:pPr>
      <w:rPr>
        <w:rFonts w:ascii="Arial" w:hAnsi="Arial" w:hint="default"/>
      </w:rPr>
    </w:lvl>
    <w:lvl w:ilvl="8" w:tplc="11FEA6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9" w15:restartNumberingAfterBreak="0">
    <w:nsid w:val="425C0B90"/>
    <w:multiLevelType w:val="hybridMultilevel"/>
    <w:tmpl w:val="7CAC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3" w15:restartNumberingAfterBreak="0">
    <w:nsid w:val="638950C1"/>
    <w:multiLevelType w:val="hybridMultilevel"/>
    <w:tmpl w:val="A740CC62"/>
    <w:lvl w:ilvl="0" w:tplc="8940FC70">
      <w:start w:val="1"/>
      <w:numFmt w:val="bullet"/>
      <w:lvlText w:val="•"/>
      <w:lvlJc w:val="left"/>
      <w:pPr>
        <w:tabs>
          <w:tab w:val="num" w:pos="720"/>
        </w:tabs>
        <w:ind w:left="720" w:hanging="360"/>
      </w:pPr>
      <w:rPr>
        <w:rFonts w:ascii="Arial" w:hAnsi="Arial" w:hint="default"/>
      </w:rPr>
    </w:lvl>
    <w:lvl w:ilvl="1" w:tplc="20F818AC" w:tentative="1">
      <w:start w:val="1"/>
      <w:numFmt w:val="bullet"/>
      <w:lvlText w:val="•"/>
      <w:lvlJc w:val="left"/>
      <w:pPr>
        <w:tabs>
          <w:tab w:val="num" w:pos="1440"/>
        </w:tabs>
        <w:ind w:left="1440" w:hanging="360"/>
      </w:pPr>
      <w:rPr>
        <w:rFonts w:ascii="Arial" w:hAnsi="Arial" w:hint="default"/>
      </w:rPr>
    </w:lvl>
    <w:lvl w:ilvl="2" w:tplc="EE76E290" w:tentative="1">
      <w:start w:val="1"/>
      <w:numFmt w:val="bullet"/>
      <w:lvlText w:val="•"/>
      <w:lvlJc w:val="left"/>
      <w:pPr>
        <w:tabs>
          <w:tab w:val="num" w:pos="2160"/>
        </w:tabs>
        <w:ind w:left="2160" w:hanging="360"/>
      </w:pPr>
      <w:rPr>
        <w:rFonts w:ascii="Arial" w:hAnsi="Arial" w:hint="default"/>
      </w:rPr>
    </w:lvl>
    <w:lvl w:ilvl="3" w:tplc="323A236E" w:tentative="1">
      <w:start w:val="1"/>
      <w:numFmt w:val="bullet"/>
      <w:lvlText w:val="•"/>
      <w:lvlJc w:val="left"/>
      <w:pPr>
        <w:tabs>
          <w:tab w:val="num" w:pos="2880"/>
        </w:tabs>
        <w:ind w:left="2880" w:hanging="360"/>
      </w:pPr>
      <w:rPr>
        <w:rFonts w:ascii="Arial" w:hAnsi="Arial" w:hint="default"/>
      </w:rPr>
    </w:lvl>
    <w:lvl w:ilvl="4" w:tplc="926A5E90" w:tentative="1">
      <w:start w:val="1"/>
      <w:numFmt w:val="bullet"/>
      <w:lvlText w:val="•"/>
      <w:lvlJc w:val="left"/>
      <w:pPr>
        <w:tabs>
          <w:tab w:val="num" w:pos="3600"/>
        </w:tabs>
        <w:ind w:left="3600" w:hanging="360"/>
      </w:pPr>
      <w:rPr>
        <w:rFonts w:ascii="Arial" w:hAnsi="Arial" w:hint="default"/>
      </w:rPr>
    </w:lvl>
    <w:lvl w:ilvl="5" w:tplc="38FA6066" w:tentative="1">
      <w:start w:val="1"/>
      <w:numFmt w:val="bullet"/>
      <w:lvlText w:val="•"/>
      <w:lvlJc w:val="left"/>
      <w:pPr>
        <w:tabs>
          <w:tab w:val="num" w:pos="4320"/>
        </w:tabs>
        <w:ind w:left="4320" w:hanging="360"/>
      </w:pPr>
      <w:rPr>
        <w:rFonts w:ascii="Arial" w:hAnsi="Arial" w:hint="default"/>
      </w:rPr>
    </w:lvl>
    <w:lvl w:ilvl="6" w:tplc="8FE840C6" w:tentative="1">
      <w:start w:val="1"/>
      <w:numFmt w:val="bullet"/>
      <w:lvlText w:val="•"/>
      <w:lvlJc w:val="left"/>
      <w:pPr>
        <w:tabs>
          <w:tab w:val="num" w:pos="5040"/>
        </w:tabs>
        <w:ind w:left="5040" w:hanging="360"/>
      </w:pPr>
      <w:rPr>
        <w:rFonts w:ascii="Arial" w:hAnsi="Arial" w:hint="default"/>
      </w:rPr>
    </w:lvl>
    <w:lvl w:ilvl="7" w:tplc="40CE8688" w:tentative="1">
      <w:start w:val="1"/>
      <w:numFmt w:val="bullet"/>
      <w:lvlText w:val="•"/>
      <w:lvlJc w:val="left"/>
      <w:pPr>
        <w:tabs>
          <w:tab w:val="num" w:pos="5760"/>
        </w:tabs>
        <w:ind w:left="5760" w:hanging="360"/>
      </w:pPr>
      <w:rPr>
        <w:rFonts w:ascii="Arial" w:hAnsi="Arial" w:hint="default"/>
      </w:rPr>
    </w:lvl>
    <w:lvl w:ilvl="8" w:tplc="B2F286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9"/>
  </w:num>
  <w:num w:numId="3">
    <w:abstractNumId w:val="6"/>
  </w:num>
  <w:num w:numId="4">
    <w:abstractNumId w:val="24"/>
  </w:num>
  <w:num w:numId="5">
    <w:abstractNumId w:val="18"/>
  </w:num>
  <w:num w:numId="6">
    <w:abstractNumId w:val="8"/>
  </w:num>
  <w:num w:numId="7">
    <w:abstractNumId w:val="13"/>
  </w:num>
  <w:num w:numId="8">
    <w:abstractNumId w:val="21"/>
  </w:num>
  <w:num w:numId="9">
    <w:abstractNumId w:val="1"/>
  </w:num>
  <w:num w:numId="10">
    <w:abstractNumId w:val="3"/>
  </w:num>
  <w:num w:numId="11">
    <w:abstractNumId w:val="25"/>
  </w:num>
  <w:num w:numId="12">
    <w:abstractNumId w:val="22"/>
  </w:num>
  <w:num w:numId="13">
    <w:abstractNumId w:val="20"/>
  </w:num>
  <w:num w:numId="14">
    <w:abstractNumId w:val="2"/>
  </w:num>
  <w:num w:numId="15">
    <w:abstractNumId w:val="23"/>
  </w:num>
  <w:num w:numId="16">
    <w:abstractNumId w:val="12"/>
  </w:num>
  <w:num w:numId="17">
    <w:abstractNumId w:val="1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7"/>
  </w:num>
  <w:num w:numId="21">
    <w:abstractNumId w:val="10"/>
  </w:num>
  <w:num w:numId="22">
    <w:abstractNumId w:val="16"/>
  </w:num>
  <w:num w:numId="23">
    <w:abstractNumId w:val="5"/>
  </w:num>
  <w:num w:numId="24">
    <w:abstractNumId w:val="11"/>
  </w:num>
  <w:num w:numId="25">
    <w:abstractNumId w:val="26"/>
  </w:num>
  <w:num w:numId="26">
    <w:abstractNumId w:val="27"/>
  </w:num>
  <w:num w:numId="27">
    <w:abstractNumId w:val="19"/>
  </w:num>
  <w:num w:numId="28">
    <w:abstractNumId w:val="4"/>
  </w:num>
  <w:num w:numId="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75D4"/>
    <w:rsid w:val="000610AA"/>
    <w:rsid w:val="00061A81"/>
    <w:rsid w:val="00062BC9"/>
    <w:rsid w:val="000631DA"/>
    <w:rsid w:val="00063E95"/>
    <w:rsid w:val="000653B6"/>
    <w:rsid w:val="00067DE7"/>
    <w:rsid w:val="00067EA8"/>
    <w:rsid w:val="0007212B"/>
    <w:rsid w:val="00073846"/>
    <w:rsid w:val="0007411A"/>
    <w:rsid w:val="00076FBC"/>
    <w:rsid w:val="00082F23"/>
    <w:rsid w:val="00083802"/>
    <w:rsid w:val="00084FFC"/>
    <w:rsid w:val="000859B2"/>
    <w:rsid w:val="00085B18"/>
    <w:rsid w:val="00087CF4"/>
    <w:rsid w:val="00092AA6"/>
    <w:rsid w:val="00092D11"/>
    <w:rsid w:val="000930BA"/>
    <w:rsid w:val="000A167A"/>
    <w:rsid w:val="000A2421"/>
    <w:rsid w:val="000A3E89"/>
    <w:rsid w:val="000A687C"/>
    <w:rsid w:val="000B0EE1"/>
    <w:rsid w:val="000B1224"/>
    <w:rsid w:val="000B1948"/>
    <w:rsid w:val="000B1F3C"/>
    <w:rsid w:val="000B22CB"/>
    <w:rsid w:val="000B2FAF"/>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3289"/>
    <w:rsid w:val="00117807"/>
    <w:rsid w:val="00123B56"/>
    <w:rsid w:val="001253E7"/>
    <w:rsid w:val="00125A47"/>
    <w:rsid w:val="00126B55"/>
    <w:rsid w:val="001273E4"/>
    <w:rsid w:val="001276E6"/>
    <w:rsid w:val="00130897"/>
    <w:rsid w:val="001339DA"/>
    <w:rsid w:val="00136CC7"/>
    <w:rsid w:val="0014117A"/>
    <w:rsid w:val="00141E29"/>
    <w:rsid w:val="001465DE"/>
    <w:rsid w:val="00147259"/>
    <w:rsid w:val="00154A41"/>
    <w:rsid w:val="00160A29"/>
    <w:rsid w:val="0016361E"/>
    <w:rsid w:val="00163B87"/>
    <w:rsid w:val="00165A15"/>
    <w:rsid w:val="00165D09"/>
    <w:rsid w:val="001706C8"/>
    <w:rsid w:val="00170F0B"/>
    <w:rsid w:val="00171115"/>
    <w:rsid w:val="001732C5"/>
    <w:rsid w:val="00173B6A"/>
    <w:rsid w:val="001745FE"/>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5017"/>
    <w:rsid w:val="001F7E68"/>
    <w:rsid w:val="00204459"/>
    <w:rsid w:val="0020475D"/>
    <w:rsid w:val="00204BBD"/>
    <w:rsid w:val="002060EB"/>
    <w:rsid w:val="00210006"/>
    <w:rsid w:val="00210510"/>
    <w:rsid w:val="0021163C"/>
    <w:rsid w:val="0021381A"/>
    <w:rsid w:val="00213C9F"/>
    <w:rsid w:val="00214E5A"/>
    <w:rsid w:val="002215CB"/>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5ED9"/>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05B1A"/>
    <w:rsid w:val="003124B8"/>
    <w:rsid w:val="00315349"/>
    <w:rsid w:val="00321744"/>
    <w:rsid w:val="00322788"/>
    <w:rsid w:val="003242F2"/>
    <w:rsid w:val="00325E94"/>
    <w:rsid w:val="003278D7"/>
    <w:rsid w:val="00327D24"/>
    <w:rsid w:val="00330C8F"/>
    <w:rsid w:val="00330D59"/>
    <w:rsid w:val="00331401"/>
    <w:rsid w:val="0033156D"/>
    <w:rsid w:val="00333215"/>
    <w:rsid w:val="003350FE"/>
    <w:rsid w:val="00335495"/>
    <w:rsid w:val="003361E2"/>
    <w:rsid w:val="003375F3"/>
    <w:rsid w:val="00341D25"/>
    <w:rsid w:val="0034265E"/>
    <w:rsid w:val="003426BA"/>
    <w:rsid w:val="00344D4E"/>
    <w:rsid w:val="0035206F"/>
    <w:rsid w:val="0035347E"/>
    <w:rsid w:val="00353EB2"/>
    <w:rsid w:val="00360D6B"/>
    <w:rsid w:val="00360E07"/>
    <w:rsid w:val="00361DD9"/>
    <w:rsid w:val="00361DDB"/>
    <w:rsid w:val="0036490A"/>
    <w:rsid w:val="00364BDB"/>
    <w:rsid w:val="00366855"/>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1797"/>
    <w:rsid w:val="00407A61"/>
    <w:rsid w:val="004108E1"/>
    <w:rsid w:val="00410EDC"/>
    <w:rsid w:val="00412189"/>
    <w:rsid w:val="00412A62"/>
    <w:rsid w:val="00412AE0"/>
    <w:rsid w:val="00412E69"/>
    <w:rsid w:val="00413E09"/>
    <w:rsid w:val="004152D0"/>
    <w:rsid w:val="00416AA7"/>
    <w:rsid w:val="00416B53"/>
    <w:rsid w:val="00416D82"/>
    <w:rsid w:val="0041705B"/>
    <w:rsid w:val="0042001E"/>
    <w:rsid w:val="00421083"/>
    <w:rsid w:val="004218FC"/>
    <w:rsid w:val="004229CC"/>
    <w:rsid w:val="004232DC"/>
    <w:rsid w:val="00423CFE"/>
    <w:rsid w:val="00427430"/>
    <w:rsid w:val="00431138"/>
    <w:rsid w:val="00433B5A"/>
    <w:rsid w:val="00433C66"/>
    <w:rsid w:val="0043498F"/>
    <w:rsid w:val="00434A53"/>
    <w:rsid w:val="004366E1"/>
    <w:rsid w:val="00436CB8"/>
    <w:rsid w:val="00442E22"/>
    <w:rsid w:val="00443ECE"/>
    <w:rsid w:val="0044709C"/>
    <w:rsid w:val="00450E7E"/>
    <w:rsid w:val="00453991"/>
    <w:rsid w:val="00455368"/>
    <w:rsid w:val="004561CC"/>
    <w:rsid w:val="00457D3C"/>
    <w:rsid w:val="00457F84"/>
    <w:rsid w:val="00460214"/>
    <w:rsid w:val="00460C5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37E"/>
    <w:rsid w:val="004C5CD9"/>
    <w:rsid w:val="004C5EE2"/>
    <w:rsid w:val="004C6B70"/>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47133"/>
    <w:rsid w:val="00551403"/>
    <w:rsid w:val="00552686"/>
    <w:rsid w:val="00552ADB"/>
    <w:rsid w:val="00553319"/>
    <w:rsid w:val="00553BCE"/>
    <w:rsid w:val="00554276"/>
    <w:rsid w:val="00555319"/>
    <w:rsid w:val="00555926"/>
    <w:rsid w:val="005565FA"/>
    <w:rsid w:val="00556C56"/>
    <w:rsid w:val="00561795"/>
    <w:rsid w:val="0056355A"/>
    <w:rsid w:val="00566AC0"/>
    <w:rsid w:val="00567E0F"/>
    <w:rsid w:val="00573FD2"/>
    <w:rsid w:val="0057665A"/>
    <w:rsid w:val="0057797C"/>
    <w:rsid w:val="0058014D"/>
    <w:rsid w:val="00580B32"/>
    <w:rsid w:val="00582711"/>
    <w:rsid w:val="00584CC4"/>
    <w:rsid w:val="00585468"/>
    <w:rsid w:val="00585771"/>
    <w:rsid w:val="00587939"/>
    <w:rsid w:val="00591A08"/>
    <w:rsid w:val="00592096"/>
    <w:rsid w:val="00592C9F"/>
    <w:rsid w:val="0059375F"/>
    <w:rsid w:val="00593824"/>
    <w:rsid w:val="00596106"/>
    <w:rsid w:val="005A330C"/>
    <w:rsid w:val="005A4A63"/>
    <w:rsid w:val="005A598B"/>
    <w:rsid w:val="005A5DBA"/>
    <w:rsid w:val="005A689F"/>
    <w:rsid w:val="005B108E"/>
    <w:rsid w:val="005B235F"/>
    <w:rsid w:val="005B7DDE"/>
    <w:rsid w:val="005C0EED"/>
    <w:rsid w:val="005C2000"/>
    <w:rsid w:val="005C5777"/>
    <w:rsid w:val="005D0A38"/>
    <w:rsid w:val="005D1940"/>
    <w:rsid w:val="005D3A07"/>
    <w:rsid w:val="005D4EB3"/>
    <w:rsid w:val="005D6A68"/>
    <w:rsid w:val="005D704B"/>
    <w:rsid w:val="005D7376"/>
    <w:rsid w:val="005D7E08"/>
    <w:rsid w:val="005E0A4D"/>
    <w:rsid w:val="005E0ADF"/>
    <w:rsid w:val="005E200A"/>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0AE1"/>
    <w:rsid w:val="006427AC"/>
    <w:rsid w:val="00643E58"/>
    <w:rsid w:val="00643F63"/>
    <w:rsid w:val="0064664D"/>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263B"/>
    <w:rsid w:val="006A2F3C"/>
    <w:rsid w:val="006A4012"/>
    <w:rsid w:val="006A450D"/>
    <w:rsid w:val="006A6633"/>
    <w:rsid w:val="006A683E"/>
    <w:rsid w:val="006A6B65"/>
    <w:rsid w:val="006B02E9"/>
    <w:rsid w:val="006B6699"/>
    <w:rsid w:val="006C1ACD"/>
    <w:rsid w:val="006C2EF4"/>
    <w:rsid w:val="006C3A34"/>
    <w:rsid w:val="006C62BB"/>
    <w:rsid w:val="006D033C"/>
    <w:rsid w:val="006D4248"/>
    <w:rsid w:val="006D52A1"/>
    <w:rsid w:val="006F1D22"/>
    <w:rsid w:val="006F22DE"/>
    <w:rsid w:val="006F6D79"/>
    <w:rsid w:val="006F6EFE"/>
    <w:rsid w:val="007003B8"/>
    <w:rsid w:val="0070090D"/>
    <w:rsid w:val="00700A3C"/>
    <w:rsid w:val="00701F1A"/>
    <w:rsid w:val="0070277B"/>
    <w:rsid w:val="007056B8"/>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1E57"/>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1BE9"/>
    <w:rsid w:val="007A31D2"/>
    <w:rsid w:val="007A32B9"/>
    <w:rsid w:val="007A7605"/>
    <w:rsid w:val="007B3865"/>
    <w:rsid w:val="007B3DCA"/>
    <w:rsid w:val="007B487E"/>
    <w:rsid w:val="007B493C"/>
    <w:rsid w:val="007B5BDF"/>
    <w:rsid w:val="007C0FA7"/>
    <w:rsid w:val="007C59BB"/>
    <w:rsid w:val="007C5E40"/>
    <w:rsid w:val="007D1244"/>
    <w:rsid w:val="007D606B"/>
    <w:rsid w:val="007E0394"/>
    <w:rsid w:val="007E05A7"/>
    <w:rsid w:val="007E0C22"/>
    <w:rsid w:val="007E3FDF"/>
    <w:rsid w:val="007E4698"/>
    <w:rsid w:val="007E683D"/>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C11"/>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186E"/>
    <w:rsid w:val="00871D2C"/>
    <w:rsid w:val="0087599A"/>
    <w:rsid w:val="00881EEA"/>
    <w:rsid w:val="008835B0"/>
    <w:rsid w:val="00883883"/>
    <w:rsid w:val="00883A51"/>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50CE"/>
    <w:rsid w:val="008A5B9F"/>
    <w:rsid w:val="008A7001"/>
    <w:rsid w:val="008B010B"/>
    <w:rsid w:val="008B0672"/>
    <w:rsid w:val="008B2318"/>
    <w:rsid w:val="008B3A56"/>
    <w:rsid w:val="008C0A49"/>
    <w:rsid w:val="008C1A38"/>
    <w:rsid w:val="008C7113"/>
    <w:rsid w:val="008D08C9"/>
    <w:rsid w:val="008D3374"/>
    <w:rsid w:val="008D4981"/>
    <w:rsid w:val="008D4F18"/>
    <w:rsid w:val="008D5F9D"/>
    <w:rsid w:val="008D5FC4"/>
    <w:rsid w:val="008E46EB"/>
    <w:rsid w:val="008E5CB7"/>
    <w:rsid w:val="008E70BF"/>
    <w:rsid w:val="008E7B8A"/>
    <w:rsid w:val="008F183D"/>
    <w:rsid w:val="008F3D58"/>
    <w:rsid w:val="008F62F7"/>
    <w:rsid w:val="008F7FAA"/>
    <w:rsid w:val="00901270"/>
    <w:rsid w:val="00902E64"/>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56B"/>
    <w:rsid w:val="009600FE"/>
    <w:rsid w:val="00963797"/>
    <w:rsid w:val="0096522D"/>
    <w:rsid w:val="00965F8E"/>
    <w:rsid w:val="00966493"/>
    <w:rsid w:val="0097373C"/>
    <w:rsid w:val="00975148"/>
    <w:rsid w:val="0097611E"/>
    <w:rsid w:val="009823FE"/>
    <w:rsid w:val="0098244D"/>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16C4"/>
    <w:rsid w:val="009C3324"/>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1E70"/>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3004"/>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293"/>
    <w:rsid w:val="00AB2DF2"/>
    <w:rsid w:val="00AB3AC9"/>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521C"/>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1EEB"/>
    <w:rsid w:val="00B2244E"/>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5A00"/>
    <w:rsid w:val="00B57214"/>
    <w:rsid w:val="00B6525F"/>
    <w:rsid w:val="00B65A9D"/>
    <w:rsid w:val="00B71A01"/>
    <w:rsid w:val="00B73628"/>
    <w:rsid w:val="00B743A2"/>
    <w:rsid w:val="00B74586"/>
    <w:rsid w:val="00B757B1"/>
    <w:rsid w:val="00B764F8"/>
    <w:rsid w:val="00B7726A"/>
    <w:rsid w:val="00B83119"/>
    <w:rsid w:val="00B83FDB"/>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23E"/>
    <w:rsid w:val="00C04425"/>
    <w:rsid w:val="00C04F5C"/>
    <w:rsid w:val="00C07241"/>
    <w:rsid w:val="00C07968"/>
    <w:rsid w:val="00C1023B"/>
    <w:rsid w:val="00C10953"/>
    <w:rsid w:val="00C10A7E"/>
    <w:rsid w:val="00C10D2B"/>
    <w:rsid w:val="00C11106"/>
    <w:rsid w:val="00C114AA"/>
    <w:rsid w:val="00C13A80"/>
    <w:rsid w:val="00C157ED"/>
    <w:rsid w:val="00C15DA0"/>
    <w:rsid w:val="00C20259"/>
    <w:rsid w:val="00C2646C"/>
    <w:rsid w:val="00C275FC"/>
    <w:rsid w:val="00C30172"/>
    <w:rsid w:val="00C34B81"/>
    <w:rsid w:val="00C35616"/>
    <w:rsid w:val="00C41DCF"/>
    <w:rsid w:val="00C42940"/>
    <w:rsid w:val="00C42F97"/>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1D21"/>
    <w:rsid w:val="00C9342D"/>
    <w:rsid w:val="00C95050"/>
    <w:rsid w:val="00C95DD4"/>
    <w:rsid w:val="00C97831"/>
    <w:rsid w:val="00CA0596"/>
    <w:rsid w:val="00CA1058"/>
    <w:rsid w:val="00CA2541"/>
    <w:rsid w:val="00CB0294"/>
    <w:rsid w:val="00CB1925"/>
    <w:rsid w:val="00CB201F"/>
    <w:rsid w:val="00CB2F19"/>
    <w:rsid w:val="00CB4E2A"/>
    <w:rsid w:val="00CB5E6E"/>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3305"/>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B4A"/>
    <w:rsid w:val="00D31FF7"/>
    <w:rsid w:val="00D34E36"/>
    <w:rsid w:val="00D35A57"/>
    <w:rsid w:val="00D36641"/>
    <w:rsid w:val="00D36E68"/>
    <w:rsid w:val="00D42AD7"/>
    <w:rsid w:val="00D51EBE"/>
    <w:rsid w:val="00D52298"/>
    <w:rsid w:val="00D526EF"/>
    <w:rsid w:val="00D569AD"/>
    <w:rsid w:val="00D5766D"/>
    <w:rsid w:val="00D603AB"/>
    <w:rsid w:val="00D609A5"/>
    <w:rsid w:val="00D60B85"/>
    <w:rsid w:val="00D62DB0"/>
    <w:rsid w:val="00D62E75"/>
    <w:rsid w:val="00D63648"/>
    <w:rsid w:val="00D65CC5"/>
    <w:rsid w:val="00D67B91"/>
    <w:rsid w:val="00D67F74"/>
    <w:rsid w:val="00D778B5"/>
    <w:rsid w:val="00D77B4D"/>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29E2"/>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35CBD"/>
    <w:rsid w:val="00E403E5"/>
    <w:rsid w:val="00E41F36"/>
    <w:rsid w:val="00E448AB"/>
    <w:rsid w:val="00E44A37"/>
    <w:rsid w:val="00E47D59"/>
    <w:rsid w:val="00E50D1B"/>
    <w:rsid w:val="00E5123C"/>
    <w:rsid w:val="00E51827"/>
    <w:rsid w:val="00E51AC9"/>
    <w:rsid w:val="00E55871"/>
    <w:rsid w:val="00E55D94"/>
    <w:rsid w:val="00E5607F"/>
    <w:rsid w:val="00E6162C"/>
    <w:rsid w:val="00E6534A"/>
    <w:rsid w:val="00E65EDF"/>
    <w:rsid w:val="00E66846"/>
    <w:rsid w:val="00E7008C"/>
    <w:rsid w:val="00E70CE4"/>
    <w:rsid w:val="00E72146"/>
    <w:rsid w:val="00E75A40"/>
    <w:rsid w:val="00E75F6A"/>
    <w:rsid w:val="00E76F4C"/>
    <w:rsid w:val="00E77E45"/>
    <w:rsid w:val="00E83451"/>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qFormat/>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 w:type="character" w:customStyle="1" w:styleId="TALCar">
    <w:name w:val="TAL Car"/>
    <w:basedOn w:val="a0"/>
    <w:qFormat/>
    <w:locked/>
    <w:rsid w:val="00567E0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208950588">
      <w:bodyDiv w:val="1"/>
      <w:marLeft w:val="0"/>
      <w:marRight w:val="0"/>
      <w:marTop w:val="0"/>
      <w:marBottom w:val="0"/>
      <w:divBdr>
        <w:top w:val="none" w:sz="0" w:space="0" w:color="auto"/>
        <w:left w:val="none" w:sz="0" w:space="0" w:color="auto"/>
        <w:bottom w:val="none" w:sz="0" w:space="0" w:color="auto"/>
        <w:right w:val="none" w:sz="0" w:space="0" w:color="auto"/>
      </w:divBdr>
      <w:divsChild>
        <w:div w:id="1906839221">
          <w:marLeft w:val="432"/>
          <w:marRight w:val="0"/>
          <w:marTop w:val="24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31366407">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799029126">
      <w:bodyDiv w:val="1"/>
      <w:marLeft w:val="0"/>
      <w:marRight w:val="0"/>
      <w:marTop w:val="0"/>
      <w:marBottom w:val="0"/>
      <w:divBdr>
        <w:top w:val="none" w:sz="0" w:space="0" w:color="auto"/>
        <w:left w:val="none" w:sz="0" w:space="0" w:color="auto"/>
        <w:bottom w:val="none" w:sz="0" w:space="0" w:color="auto"/>
        <w:right w:val="none" w:sz="0" w:space="0" w:color="auto"/>
      </w:divBdr>
      <w:divsChild>
        <w:div w:id="175854073">
          <w:marLeft w:val="432"/>
          <w:marRight w:val="0"/>
          <w:marTop w:val="240"/>
          <w:marBottom w:val="0"/>
          <w:divBdr>
            <w:top w:val="none" w:sz="0" w:space="0" w:color="auto"/>
            <w:left w:val="none" w:sz="0" w:space="0" w:color="auto"/>
            <w:bottom w:val="none" w:sz="0" w:space="0" w:color="auto"/>
            <w:right w:val="none" w:sz="0" w:space="0" w:color="auto"/>
          </w:divBdr>
        </w:div>
      </w:divsChild>
    </w:div>
    <w:div w:id="1803309225">
      <w:bodyDiv w:val="1"/>
      <w:marLeft w:val="0"/>
      <w:marRight w:val="0"/>
      <w:marTop w:val="0"/>
      <w:marBottom w:val="0"/>
      <w:divBdr>
        <w:top w:val="none" w:sz="0" w:space="0" w:color="auto"/>
        <w:left w:val="none" w:sz="0" w:space="0" w:color="auto"/>
        <w:bottom w:val="none" w:sz="0" w:space="0" w:color="auto"/>
        <w:right w:val="none" w:sz="0" w:space="0" w:color="auto"/>
      </w:divBdr>
      <w:divsChild>
        <w:div w:id="903376223">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04237928">
      <w:bodyDiv w:val="1"/>
      <w:marLeft w:val="0"/>
      <w:marRight w:val="0"/>
      <w:marTop w:val="0"/>
      <w:marBottom w:val="0"/>
      <w:divBdr>
        <w:top w:val="none" w:sz="0" w:space="0" w:color="auto"/>
        <w:left w:val="none" w:sz="0" w:space="0" w:color="auto"/>
        <w:bottom w:val="none" w:sz="0" w:space="0" w:color="auto"/>
        <w:right w:val="none" w:sz="0" w:space="0" w:color="auto"/>
      </w:divBdr>
      <w:divsChild>
        <w:div w:id="2017267640">
          <w:marLeft w:val="1267"/>
          <w:marRight w:val="0"/>
          <w:marTop w:val="180"/>
          <w:marBottom w:val="0"/>
          <w:divBdr>
            <w:top w:val="none" w:sz="0" w:space="0" w:color="auto"/>
            <w:left w:val="none" w:sz="0" w:space="0" w:color="auto"/>
            <w:bottom w:val="none" w:sz="0" w:space="0" w:color="auto"/>
            <w:right w:val="none" w:sz="0" w:space="0" w:color="auto"/>
          </w:divBdr>
        </w:div>
        <w:div w:id="1195342473">
          <w:marLeft w:val="1267"/>
          <w:marRight w:val="0"/>
          <w:marTop w:val="180"/>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747D7B86-C0AA-49C6-95AA-3E0DABF2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6</cp:revision>
  <cp:lastPrinted>2018-11-02T10:25:00Z</cp:lastPrinted>
  <dcterms:created xsi:type="dcterms:W3CDTF">2020-02-14T07:05:00Z</dcterms:created>
  <dcterms:modified xsi:type="dcterms:W3CDTF">2020-02-14T07:17:00Z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